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659D" w14:textId="2E79DF87" w:rsidR="0069040D" w:rsidRDefault="0069040D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The Property Law Bill 2023 (Bill) will replace the current </w:t>
      </w:r>
      <w:r>
        <w:rPr>
          <w:rFonts w:ascii="Arial" w:hAnsi="Arial" w:cs="Arial"/>
          <w:bCs/>
          <w:i/>
          <w:iCs/>
          <w:spacing w:val="-3"/>
          <w:sz w:val="22"/>
          <w:szCs w:val="22"/>
        </w:rPr>
        <w:t>Property Law Act 1974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with modern legislation, drafted in accordance with contemporary drafting practices and using plain English to simplify, streamline and modernise Queensland’s property legislation.</w:t>
      </w:r>
    </w:p>
    <w:p w14:paraId="7C5A2EF8" w14:textId="77777777" w:rsidR="00963A4E" w:rsidRDefault="00963A4E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The Bill also introduces a statutory seller disclosure scheme for freehold land in Queensland. </w:t>
      </w:r>
    </w:p>
    <w:p w14:paraId="42078E3F" w14:textId="2261C70C" w:rsidR="006159EB" w:rsidRDefault="0069040D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159EB">
        <w:rPr>
          <w:rFonts w:ascii="Arial" w:hAnsi="Arial" w:cs="Arial"/>
          <w:bCs/>
          <w:spacing w:val="-3"/>
          <w:sz w:val="22"/>
          <w:szCs w:val="22"/>
        </w:rPr>
        <w:t xml:space="preserve">The Bill </w:t>
      </w:r>
      <w:r w:rsidR="006159EB" w:rsidRPr="006159EB">
        <w:rPr>
          <w:rFonts w:ascii="Arial" w:hAnsi="Arial" w:cs="Arial"/>
          <w:bCs/>
          <w:spacing w:val="-3"/>
          <w:sz w:val="22"/>
          <w:szCs w:val="22"/>
        </w:rPr>
        <w:t xml:space="preserve">is broadly consistent with the recommendations in the </w:t>
      </w:r>
      <w:r w:rsidR="00590780" w:rsidRPr="006159EB">
        <w:rPr>
          <w:rFonts w:ascii="Arial" w:hAnsi="Arial" w:cs="Arial"/>
          <w:bCs/>
          <w:i/>
          <w:iCs/>
          <w:spacing w:val="-3"/>
          <w:sz w:val="22"/>
          <w:szCs w:val="22"/>
        </w:rPr>
        <w:t>Final Repor</w:t>
      </w:r>
      <w:r w:rsidR="00590780"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t: </w:t>
      </w:r>
      <w:r w:rsidR="006159EB" w:rsidRPr="006159EB">
        <w:rPr>
          <w:rFonts w:ascii="Arial" w:hAnsi="Arial" w:cs="Arial"/>
          <w:bCs/>
          <w:i/>
          <w:iCs/>
          <w:spacing w:val="-3"/>
          <w:sz w:val="22"/>
          <w:szCs w:val="22"/>
        </w:rPr>
        <w:t xml:space="preserve">Property Law Act 1974 </w:t>
      </w:r>
      <w:r w:rsidR="00590780">
        <w:rPr>
          <w:rFonts w:ascii="Arial" w:hAnsi="Arial" w:cs="Arial"/>
          <w:bCs/>
          <w:i/>
          <w:iCs/>
          <w:spacing w:val="-3"/>
          <w:sz w:val="22"/>
          <w:szCs w:val="22"/>
        </w:rPr>
        <w:t>(Qld),</w:t>
      </w:r>
      <w:r w:rsidR="00590780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6159EB">
        <w:rPr>
          <w:rFonts w:ascii="Arial" w:hAnsi="Arial" w:cs="Arial"/>
          <w:bCs/>
          <w:spacing w:val="-3"/>
          <w:sz w:val="22"/>
          <w:szCs w:val="22"/>
        </w:rPr>
        <w:t>which was prepared by the Commercial and Property Law Research Centre at the Queensland University of Technology</w:t>
      </w:r>
      <w:r w:rsidR="004F595F">
        <w:rPr>
          <w:rFonts w:ascii="Arial" w:hAnsi="Arial" w:cs="Arial"/>
          <w:bCs/>
          <w:spacing w:val="-3"/>
          <w:sz w:val="22"/>
          <w:szCs w:val="22"/>
        </w:rPr>
        <w:t xml:space="preserve"> (QUT)</w:t>
      </w:r>
      <w:r w:rsidR="006159EB">
        <w:rPr>
          <w:rFonts w:ascii="Arial" w:hAnsi="Arial" w:cs="Arial"/>
          <w:bCs/>
          <w:spacing w:val="-3"/>
          <w:sz w:val="22"/>
          <w:szCs w:val="22"/>
        </w:rPr>
        <w:t xml:space="preserve"> as part of a broad-ranging, independent review of Queensland’s property laws.</w:t>
      </w:r>
    </w:p>
    <w:p w14:paraId="38C2A704" w14:textId="3A6DC6A3" w:rsidR="006159EB" w:rsidRDefault="004F595F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The seller disclosure scheme is broadly consistent with </w:t>
      </w:r>
      <w:r>
        <w:rPr>
          <w:rFonts w:ascii="Arial" w:hAnsi="Arial" w:cs="Arial"/>
          <w:bCs/>
          <w:i/>
          <w:iCs/>
          <w:spacing w:val="-3"/>
          <w:sz w:val="22"/>
          <w:szCs w:val="22"/>
        </w:rPr>
        <w:t>Final Report: Seller Disclosure in Queensland</w:t>
      </w:r>
      <w:r>
        <w:rPr>
          <w:rFonts w:ascii="Arial" w:hAnsi="Arial" w:cs="Arial"/>
          <w:bCs/>
          <w:spacing w:val="-3"/>
          <w:sz w:val="22"/>
          <w:szCs w:val="22"/>
        </w:rPr>
        <w:t>, which was also prepared by QUT, and recommended the introduction of a statutory seller disclosure scheme for all sales of freehold land (subject to limited exceptions).</w:t>
      </w:r>
    </w:p>
    <w:p w14:paraId="538766A8" w14:textId="137AFFE8" w:rsidR="006159EB" w:rsidRPr="00687A3F" w:rsidRDefault="006159EB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An exposure draft of the Bill </w:t>
      </w:r>
      <w:r w:rsidR="004F595F">
        <w:rPr>
          <w:rFonts w:ascii="Arial" w:hAnsi="Arial" w:cs="Arial"/>
          <w:bCs/>
          <w:spacing w:val="-3"/>
          <w:sz w:val="22"/>
          <w:szCs w:val="22"/>
        </w:rPr>
        <w:t>and the seller disclosure provisions were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released for public consultation</w:t>
      </w:r>
      <w:r w:rsidR="004F595F">
        <w:rPr>
          <w:rFonts w:ascii="Arial" w:hAnsi="Arial" w:cs="Arial"/>
          <w:bCs/>
          <w:spacing w:val="-3"/>
          <w:sz w:val="22"/>
          <w:szCs w:val="22"/>
        </w:rPr>
        <w:t>. The Bill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and the </w:t>
      </w:r>
      <w:r w:rsidR="004F595F">
        <w:rPr>
          <w:rFonts w:ascii="Arial" w:hAnsi="Arial" w:cs="Arial"/>
          <w:bCs/>
          <w:spacing w:val="-3"/>
          <w:sz w:val="22"/>
          <w:szCs w:val="22"/>
        </w:rPr>
        <w:t xml:space="preserve">seller </w:t>
      </w:r>
      <w:r w:rsidR="004F595F" w:rsidRPr="00687A3F">
        <w:rPr>
          <w:rFonts w:ascii="Arial" w:hAnsi="Arial" w:cs="Arial"/>
          <w:bCs/>
          <w:spacing w:val="-3"/>
          <w:sz w:val="22"/>
          <w:szCs w:val="22"/>
        </w:rPr>
        <w:t xml:space="preserve">disclosure scheme </w:t>
      </w:r>
      <w:r w:rsidRPr="00687A3F">
        <w:rPr>
          <w:rFonts w:ascii="Arial" w:hAnsi="Arial" w:cs="Arial"/>
          <w:bCs/>
          <w:spacing w:val="-3"/>
          <w:sz w:val="22"/>
          <w:szCs w:val="22"/>
        </w:rPr>
        <w:t xml:space="preserve">have been modified to take account of comments </w:t>
      </w:r>
      <w:r w:rsidR="004F595F" w:rsidRPr="00687A3F">
        <w:rPr>
          <w:rFonts w:ascii="Arial" w:hAnsi="Arial" w:cs="Arial"/>
          <w:bCs/>
          <w:spacing w:val="-3"/>
          <w:sz w:val="22"/>
          <w:szCs w:val="22"/>
        </w:rPr>
        <w:t>from t</w:t>
      </w:r>
      <w:r w:rsidRPr="00687A3F">
        <w:rPr>
          <w:rFonts w:ascii="Arial" w:hAnsi="Arial" w:cs="Arial"/>
          <w:bCs/>
          <w:spacing w:val="-3"/>
          <w:sz w:val="22"/>
          <w:szCs w:val="22"/>
        </w:rPr>
        <w:t xml:space="preserve">he public and from key property and legal industry </w:t>
      </w:r>
      <w:r w:rsidR="00A81EDD" w:rsidRPr="00687A3F">
        <w:rPr>
          <w:rFonts w:ascii="Arial" w:hAnsi="Arial" w:cs="Arial"/>
          <w:bCs/>
          <w:spacing w:val="-3"/>
          <w:sz w:val="22"/>
          <w:szCs w:val="22"/>
        </w:rPr>
        <w:t xml:space="preserve">and community titles </w:t>
      </w:r>
      <w:r w:rsidRPr="00687A3F">
        <w:rPr>
          <w:rFonts w:ascii="Arial" w:hAnsi="Arial" w:cs="Arial"/>
          <w:bCs/>
          <w:spacing w:val="-3"/>
          <w:sz w:val="22"/>
          <w:szCs w:val="22"/>
        </w:rPr>
        <w:t>stakeholders, as part of further targeted stakeholder consultation on the Bill.</w:t>
      </w:r>
    </w:p>
    <w:p w14:paraId="4CD52D2E" w14:textId="14ED4AF2" w:rsidR="006159EB" w:rsidRDefault="00D6589B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C436B7">
        <w:rPr>
          <w:rFonts w:ascii="Arial" w:hAnsi="Arial" w:cs="Arial"/>
          <w:bCs/>
          <w:spacing w:val="-3"/>
          <w:sz w:val="22"/>
          <w:szCs w:val="22"/>
          <w:u w:val="single"/>
        </w:rPr>
        <w:t xml:space="preserve">Cabinet </w:t>
      </w:r>
      <w:r w:rsidR="006159EB" w:rsidRPr="00C436B7">
        <w:rPr>
          <w:rFonts w:ascii="Arial" w:hAnsi="Arial" w:cs="Arial"/>
          <w:bCs/>
          <w:spacing w:val="-3"/>
          <w:sz w:val="22"/>
          <w:szCs w:val="22"/>
          <w:u w:val="single"/>
        </w:rPr>
        <w:t>approved</w:t>
      </w:r>
      <w:r w:rsidR="006159EB" w:rsidRPr="00687A3F">
        <w:rPr>
          <w:rFonts w:ascii="Arial" w:hAnsi="Arial" w:cs="Arial"/>
          <w:bCs/>
          <w:spacing w:val="-3"/>
          <w:sz w:val="22"/>
          <w:szCs w:val="22"/>
        </w:rPr>
        <w:t xml:space="preserve"> the introduction of the </w:t>
      </w:r>
      <w:r w:rsidR="009A6DFD">
        <w:rPr>
          <w:rFonts w:ascii="Arial" w:hAnsi="Arial" w:cs="Arial"/>
          <w:bCs/>
          <w:spacing w:val="-3"/>
          <w:sz w:val="22"/>
          <w:szCs w:val="22"/>
        </w:rPr>
        <w:t xml:space="preserve">Property Law </w:t>
      </w:r>
      <w:r w:rsidR="006159EB" w:rsidRPr="00687A3F">
        <w:rPr>
          <w:rFonts w:ascii="Arial" w:hAnsi="Arial" w:cs="Arial"/>
          <w:bCs/>
          <w:spacing w:val="-3"/>
          <w:sz w:val="22"/>
          <w:szCs w:val="22"/>
        </w:rPr>
        <w:t>Bill</w:t>
      </w:r>
      <w:r w:rsidR="009A6DFD">
        <w:rPr>
          <w:rFonts w:ascii="Arial" w:hAnsi="Arial" w:cs="Arial"/>
          <w:bCs/>
          <w:spacing w:val="-3"/>
          <w:sz w:val="22"/>
          <w:szCs w:val="22"/>
        </w:rPr>
        <w:t xml:space="preserve"> 2023</w:t>
      </w:r>
      <w:r w:rsidR="004F595F" w:rsidRPr="00687A3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436B7">
        <w:rPr>
          <w:rFonts w:ascii="Arial" w:hAnsi="Arial" w:cs="Arial"/>
          <w:bCs/>
          <w:spacing w:val="-3"/>
          <w:sz w:val="22"/>
          <w:szCs w:val="22"/>
        </w:rPr>
        <w:t xml:space="preserve">into the Legislative Assembly </w:t>
      </w:r>
      <w:r w:rsidR="004F595F" w:rsidRPr="00687A3F">
        <w:rPr>
          <w:rFonts w:ascii="Arial" w:hAnsi="Arial" w:cs="Arial"/>
          <w:bCs/>
          <w:spacing w:val="-3"/>
          <w:sz w:val="22"/>
          <w:szCs w:val="22"/>
        </w:rPr>
        <w:t>to enact a new property law Act in Queensland</w:t>
      </w:r>
      <w:r w:rsidR="004F595F">
        <w:rPr>
          <w:rFonts w:ascii="Arial" w:hAnsi="Arial" w:cs="Arial"/>
          <w:bCs/>
          <w:spacing w:val="-3"/>
          <w:sz w:val="22"/>
          <w:szCs w:val="22"/>
        </w:rPr>
        <w:t xml:space="preserve"> and implement a statutory seller disclosure scheme for sales of freehold land.</w:t>
      </w:r>
    </w:p>
    <w:p w14:paraId="6E60F077" w14:textId="09007399" w:rsidR="00C436B7" w:rsidRDefault="00C436B7" w:rsidP="00A3668F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  <w:u w:val="single"/>
        </w:rPr>
        <w:t>Cabinet approved</w:t>
      </w:r>
      <w:r w:rsidRPr="003243D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3729DD">
        <w:rPr>
          <w:rFonts w:ascii="Arial" w:hAnsi="Arial" w:cs="Arial"/>
          <w:bCs/>
          <w:spacing w:val="-3"/>
          <w:sz w:val="22"/>
          <w:szCs w:val="22"/>
        </w:rPr>
        <w:t>tabling of the draft Property Law Regulation 2023 and the draft Body Corporate and Community Management and Other Legislation Amendment Regulation 2023.</w:t>
      </w:r>
    </w:p>
    <w:p w14:paraId="3617F85F" w14:textId="5CD004D6" w:rsidR="00D6589B" w:rsidRPr="00C07656" w:rsidRDefault="00D6589B" w:rsidP="00A3668F">
      <w:pPr>
        <w:keepNext/>
        <w:numPr>
          <w:ilvl w:val="0"/>
          <w:numId w:val="1"/>
        </w:numPr>
        <w:tabs>
          <w:tab w:val="clear" w:pos="720"/>
          <w:tab w:val="num" w:pos="360"/>
        </w:tabs>
        <w:spacing w:before="3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07656">
        <w:rPr>
          <w:rFonts w:ascii="Arial" w:hAnsi="Arial" w:cs="Arial"/>
          <w:i/>
          <w:sz w:val="22"/>
          <w:szCs w:val="22"/>
          <w:u w:val="single"/>
        </w:rPr>
        <w:t>Attachments</w:t>
      </w:r>
      <w:r w:rsidR="003243DF">
        <w:rPr>
          <w:rFonts w:ascii="Arial" w:hAnsi="Arial" w:cs="Arial"/>
          <w:iCs/>
          <w:sz w:val="22"/>
          <w:szCs w:val="22"/>
        </w:rPr>
        <w:t>:</w:t>
      </w:r>
    </w:p>
    <w:p w14:paraId="50A0370B" w14:textId="33AC97DF" w:rsidR="00D6589B" w:rsidRDefault="00A467A4" w:rsidP="00F7723F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hyperlink r:id="rId9" w:history="1">
        <w:r w:rsidR="004F595F" w:rsidRPr="006B77ED">
          <w:rPr>
            <w:rStyle w:val="Hyperlink"/>
            <w:rFonts w:ascii="Arial" w:hAnsi="Arial" w:cs="Arial"/>
            <w:sz w:val="22"/>
            <w:szCs w:val="22"/>
          </w:rPr>
          <w:t>Property Law Bill 2023</w:t>
        </w:r>
      </w:hyperlink>
    </w:p>
    <w:p w14:paraId="4D8A10F3" w14:textId="4457017A" w:rsidR="004F595F" w:rsidRDefault="00A467A4" w:rsidP="00F7723F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hyperlink r:id="rId10" w:history="1">
        <w:r w:rsidR="004F595F" w:rsidRPr="006B77ED">
          <w:rPr>
            <w:rStyle w:val="Hyperlink"/>
            <w:rFonts w:ascii="Arial" w:hAnsi="Arial" w:cs="Arial"/>
            <w:sz w:val="22"/>
            <w:szCs w:val="22"/>
          </w:rPr>
          <w:t>Explanatory Notes</w:t>
        </w:r>
      </w:hyperlink>
    </w:p>
    <w:p w14:paraId="59650A2C" w14:textId="17B777E2" w:rsidR="004F595F" w:rsidRDefault="00A467A4" w:rsidP="00F7723F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hyperlink r:id="rId11" w:history="1">
        <w:r w:rsidR="004F595F" w:rsidRPr="006B77ED">
          <w:rPr>
            <w:rStyle w:val="Hyperlink"/>
            <w:rFonts w:ascii="Arial" w:hAnsi="Arial" w:cs="Arial"/>
            <w:sz w:val="22"/>
            <w:szCs w:val="22"/>
          </w:rPr>
          <w:t>Statement of Compatibility with Human Rights</w:t>
        </w:r>
      </w:hyperlink>
    </w:p>
    <w:p w14:paraId="6CCC2B2E" w14:textId="6D93CC71" w:rsidR="00C436B7" w:rsidRDefault="00A467A4" w:rsidP="00F7723F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hyperlink r:id="rId12" w:history="1">
        <w:r w:rsidR="00C436B7" w:rsidRPr="006B77ED">
          <w:rPr>
            <w:rStyle w:val="Hyperlink"/>
            <w:rFonts w:ascii="Arial" w:hAnsi="Arial" w:cs="Arial"/>
            <w:sz w:val="22"/>
            <w:szCs w:val="22"/>
          </w:rPr>
          <w:t>Draft Property Law Regulation 2023</w:t>
        </w:r>
      </w:hyperlink>
    </w:p>
    <w:p w14:paraId="6F59E24A" w14:textId="56F31955" w:rsidR="00C436B7" w:rsidRDefault="00A467A4" w:rsidP="00F7723F">
      <w:pPr>
        <w:numPr>
          <w:ilvl w:val="0"/>
          <w:numId w:val="2"/>
        </w:numPr>
        <w:spacing w:before="120"/>
        <w:ind w:left="811"/>
        <w:jc w:val="both"/>
        <w:rPr>
          <w:rFonts w:ascii="Arial" w:hAnsi="Arial" w:cs="Arial"/>
          <w:sz w:val="22"/>
          <w:szCs w:val="22"/>
        </w:rPr>
      </w:pPr>
      <w:hyperlink r:id="rId13" w:history="1">
        <w:r w:rsidR="00C436B7" w:rsidRPr="006B77ED">
          <w:rPr>
            <w:rStyle w:val="Hyperlink"/>
            <w:rFonts w:ascii="Arial" w:hAnsi="Arial" w:cs="Arial"/>
            <w:sz w:val="22"/>
            <w:szCs w:val="22"/>
          </w:rPr>
          <w:t>Draft Body Corporate and Community Management and Other Legislation Amendment Regulation 2023</w:t>
        </w:r>
      </w:hyperlink>
    </w:p>
    <w:sectPr w:rsidR="00C436B7" w:rsidSect="00F7723F">
      <w:headerReference w:type="even" r:id="rId14"/>
      <w:head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E6DA" w14:textId="77777777" w:rsidR="00A6172F" w:rsidRDefault="00A6172F" w:rsidP="00D6589B">
      <w:r>
        <w:separator/>
      </w:r>
    </w:p>
  </w:endnote>
  <w:endnote w:type="continuationSeparator" w:id="0">
    <w:p w14:paraId="33B08C75" w14:textId="77777777" w:rsidR="00A6172F" w:rsidRDefault="00A6172F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8BF3" w14:textId="77777777" w:rsidR="00A6172F" w:rsidRDefault="00A6172F" w:rsidP="00D6589B">
      <w:r>
        <w:separator/>
      </w:r>
    </w:p>
  </w:footnote>
  <w:footnote w:type="continuationSeparator" w:id="0">
    <w:p w14:paraId="38117327" w14:textId="77777777" w:rsidR="00A6172F" w:rsidRDefault="00A6172F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9C8B" w14:textId="7F4AE0BA" w:rsidR="00A467A4" w:rsidRDefault="00A467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9C4EAE" wp14:editId="5260D7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3970"/>
              <wp:wrapNone/>
              <wp:docPr id="4144665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13677" w14:textId="5B337E39" w:rsidR="00A467A4" w:rsidRPr="00A467A4" w:rsidRDefault="00A467A4" w:rsidP="00A467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</w:pPr>
                          <w:r w:rsidRPr="00A467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C4E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E213677" w14:textId="5B337E39" w:rsidR="00A467A4" w:rsidRPr="00A467A4" w:rsidRDefault="00A467A4" w:rsidP="00A467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</w:pPr>
                    <w:r w:rsidRPr="00A467A4"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6ADC" w14:textId="44B9B4C9" w:rsidR="003243DF" w:rsidRPr="00937A4A" w:rsidRDefault="00A467A4" w:rsidP="003243DF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>
      <w:rPr>
        <w:rFonts w:ascii="Arial" w:hAnsi="Arial" w:cs="Arial"/>
        <w:b/>
        <w:noProof/>
        <w:color w:val="auto"/>
        <w:sz w:val="28"/>
        <w:szCs w:val="22"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5957EA" wp14:editId="7AD242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3970"/>
              <wp:wrapNone/>
              <wp:docPr id="71979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F3E83" w14:textId="64AE1BF4" w:rsidR="00A467A4" w:rsidRPr="00A467A4" w:rsidRDefault="00A467A4" w:rsidP="00A467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</w:pPr>
                          <w:r w:rsidRPr="00A467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71F3E83" w14:textId="64AE1BF4" w:rsidR="00A467A4" w:rsidRPr="00A467A4" w:rsidRDefault="00A467A4" w:rsidP="00A467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</w:pPr>
                    <w:r w:rsidRPr="00A467A4"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43DF"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41053BC9" w14:textId="77777777" w:rsidR="003243DF" w:rsidRPr="00937A4A" w:rsidRDefault="003243DF" w:rsidP="003243DF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00D35AE6" w14:textId="552AC2CD" w:rsidR="003243DF" w:rsidRPr="00937A4A" w:rsidRDefault="003243DF" w:rsidP="003243DF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>
      <w:rPr>
        <w:rFonts w:ascii="Arial" w:hAnsi="Arial" w:cs="Arial"/>
        <w:b/>
        <w:color w:val="auto"/>
        <w:sz w:val="22"/>
        <w:szCs w:val="22"/>
        <w:lang w:eastAsia="en-US"/>
      </w:rPr>
      <w:t>February 2023</w:t>
    </w:r>
  </w:p>
  <w:p w14:paraId="4752EAF8" w14:textId="25702BF8" w:rsidR="003243DF" w:rsidRDefault="003243DF" w:rsidP="003243DF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3243DF">
      <w:rPr>
        <w:rFonts w:ascii="Arial" w:hAnsi="Arial" w:cs="Arial"/>
        <w:b/>
        <w:sz w:val="22"/>
        <w:szCs w:val="22"/>
        <w:u w:val="single"/>
      </w:rPr>
      <w:t>Property Law Bill 2023</w:t>
    </w:r>
  </w:p>
  <w:p w14:paraId="530CF586" w14:textId="663F8D57" w:rsidR="003243DF" w:rsidRDefault="003243DF" w:rsidP="00A3668F">
    <w:pPr>
      <w:pStyle w:val="Header"/>
      <w:spacing w:before="120"/>
      <w:jc w:val="both"/>
      <w:rPr>
        <w:rFonts w:ascii="Arial" w:hAnsi="Arial" w:cs="Arial"/>
        <w:b/>
        <w:sz w:val="22"/>
        <w:szCs w:val="22"/>
        <w:u w:val="single"/>
      </w:rPr>
    </w:pPr>
    <w:r w:rsidRPr="003243DF">
      <w:rPr>
        <w:rFonts w:ascii="Arial" w:hAnsi="Arial" w:cs="Arial"/>
        <w:b/>
        <w:sz w:val="22"/>
        <w:szCs w:val="22"/>
        <w:u w:val="single"/>
      </w:rPr>
      <w:t>Attorney-General and Minister for Justice, Minister for Women and Minister for the Prevention of Domestic and Family Violence</w:t>
    </w:r>
  </w:p>
  <w:p w14:paraId="3333FB49" w14:textId="77777777" w:rsidR="003243DF" w:rsidRDefault="003243DF" w:rsidP="003243DF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5229" w14:textId="7E54CE76" w:rsidR="00A467A4" w:rsidRDefault="00A467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81909C" wp14:editId="292324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3970"/>
              <wp:wrapNone/>
              <wp:docPr id="3827372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F8E11" w14:textId="77EA0F6B" w:rsidR="00A467A4" w:rsidRPr="00A467A4" w:rsidRDefault="00A467A4" w:rsidP="00A467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</w:pPr>
                          <w:r w:rsidRPr="00A467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40"/>
                              <w:szCs w:val="4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190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6AF8E11" w14:textId="77EA0F6B" w:rsidR="00A467A4" w:rsidRPr="00A467A4" w:rsidRDefault="00A467A4" w:rsidP="00A467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</w:pPr>
                    <w:r w:rsidRPr="00A467A4">
                      <w:rPr>
                        <w:rFonts w:ascii="Calibri" w:eastAsia="Calibri" w:hAnsi="Calibri" w:cs="Calibri"/>
                        <w:noProof/>
                        <w:color w:val="008000"/>
                        <w:sz w:val="40"/>
                        <w:szCs w:val="4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390103">
    <w:abstractNumId w:val="1"/>
  </w:num>
  <w:num w:numId="2" w16cid:durableId="206366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E0"/>
    <w:rsid w:val="00080F8F"/>
    <w:rsid w:val="0010384C"/>
    <w:rsid w:val="00174117"/>
    <w:rsid w:val="001974AA"/>
    <w:rsid w:val="001E0C54"/>
    <w:rsid w:val="0021145C"/>
    <w:rsid w:val="002B03B6"/>
    <w:rsid w:val="003243DF"/>
    <w:rsid w:val="003729DD"/>
    <w:rsid w:val="003A3BDD"/>
    <w:rsid w:val="004F595F"/>
    <w:rsid w:val="00501C66"/>
    <w:rsid w:val="00550873"/>
    <w:rsid w:val="00590780"/>
    <w:rsid w:val="006159EB"/>
    <w:rsid w:val="00687A3F"/>
    <w:rsid w:val="0069040D"/>
    <w:rsid w:val="006B77ED"/>
    <w:rsid w:val="007265D0"/>
    <w:rsid w:val="00732E22"/>
    <w:rsid w:val="00741C20"/>
    <w:rsid w:val="007F44F4"/>
    <w:rsid w:val="00904077"/>
    <w:rsid w:val="00937A4A"/>
    <w:rsid w:val="00963A4E"/>
    <w:rsid w:val="009A6DFD"/>
    <w:rsid w:val="00A3668F"/>
    <w:rsid w:val="00A467A4"/>
    <w:rsid w:val="00A6172F"/>
    <w:rsid w:val="00A81EDD"/>
    <w:rsid w:val="00AA4DE7"/>
    <w:rsid w:val="00C02559"/>
    <w:rsid w:val="00C436B7"/>
    <w:rsid w:val="00C50FF0"/>
    <w:rsid w:val="00C75E67"/>
    <w:rsid w:val="00CB1501"/>
    <w:rsid w:val="00CD7A50"/>
    <w:rsid w:val="00CF0D8A"/>
    <w:rsid w:val="00D5178F"/>
    <w:rsid w:val="00D6589B"/>
    <w:rsid w:val="00E50FD6"/>
    <w:rsid w:val="00E80549"/>
    <w:rsid w:val="00ED3F78"/>
    <w:rsid w:val="00F45B99"/>
    <w:rsid w:val="00F57BE7"/>
    <w:rsid w:val="00F7723F"/>
    <w:rsid w:val="00F77CE0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F8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9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1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E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EDD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EDD"/>
    <w:rPr>
      <w:rFonts w:ascii="Times New Roman" w:eastAsia="Times New Roman" w:hAnsi="Times New Roman"/>
      <w:b/>
      <w:bCs/>
      <w:color w:val="000000"/>
    </w:rPr>
  </w:style>
  <w:style w:type="paragraph" w:styleId="Revision">
    <w:name w:val="Revision"/>
    <w:hidden/>
    <w:uiPriority w:val="99"/>
    <w:semiHidden/>
    <w:rsid w:val="00C50FF0"/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B7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pcqld.sharepoint.com/sites/DPC-CABINETSERVICES/Shared%20Documents/General/Proactive%20Release/ToBeProcessed/2023/Feb/PLBill/Attachments/BCCMReg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pcqld.sharepoint.com/sites/DPC-CABINETSERVICES/Shared%20Documents/General/Proactive%20Release/ToBeProcessed/2023/Feb/PLBill/Attachments/PLReg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pcqld.sharepoint.com/sites/DPC-CABINETSERVICES/Shared%20Documents/General/Proactive%20Release/ToBeProcessed/2023/Feb/PLBill/Attachments/SoC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pcqld.sharepoint.com/sites/DPC-CABINETSERVICES/Shared%20Documents/General/Proactive%20Release/ToBeProcessed/2023/Feb/PLBill/Attachments/ExNotes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dpcqld.sharepoint.com/sites/DPC-CABINETSERVICES/Shared%20Documents/General/Proactive%20Release/ToBeProcessed/2023/Feb/PLBill/Attachments/Bill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7" ma:contentTypeDescription="Create a new document." ma:contentTypeScope="" ma:versionID="af6f5430eb7d810b497d2a680f43df08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9e5b09456ee92f63c793c2b07d46b7f8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F3A8D-8907-43BC-80C0-F75BAA48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6A91C-9813-49BA-B231-A42E6FD3A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2326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Base>https://www.cabinet.qld.gov.au/documents/2023/Feb/PLBill/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2023-05-09T02:44:00Z</dcterms:created>
  <dcterms:modified xsi:type="dcterms:W3CDTF">2023-09-26T04:08:00Z</dcterms:modified>
  <cp:category>Body_Corporate,Land,Legislation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16d01b82,18b44206,6dd4e5</vt:lpwstr>
  </property>
  <property fmtid="{D5CDD505-2E9C-101B-9397-08002B2CF9AE}" pid="3" name="ClassificationContentMarkingHeaderFontProps">
    <vt:lpwstr>#008000,20,Calibri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bba12b5-5c44-45c1-8d23-ce231b9c6da8_Enabled">
    <vt:lpwstr>true</vt:lpwstr>
  </property>
  <property fmtid="{D5CDD505-2E9C-101B-9397-08002B2CF9AE}" pid="6" name="MSIP_Label_dbba12b5-5c44-45c1-8d23-ce231b9c6da8_SetDate">
    <vt:lpwstr>2023-09-26T04:08:41Z</vt:lpwstr>
  </property>
  <property fmtid="{D5CDD505-2E9C-101B-9397-08002B2CF9AE}" pid="7" name="MSIP_Label_dbba12b5-5c44-45c1-8d23-ce231b9c6da8_Method">
    <vt:lpwstr>Standard</vt:lpwstr>
  </property>
  <property fmtid="{D5CDD505-2E9C-101B-9397-08002B2CF9AE}" pid="8" name="MSIP_Label_dbba12b5-5c44-45c1-8d23-ce231b9c6da8_Name">
    <vt:lpwstr>OFFICIAL-PILOT</vt:lpwstr>
  </property>
  <property fmtid="{D5CDD505-2E9C-101B-9397-08002B2CF9AE}" pid="9" name="MSIP_Label_dbba12b5-5c44-45c1-8d23-ce231b9c6da8_SiteId">
    <vt:lpwstr>51778d2a-a6ab-4c76-97dc-782782d65046</vt:lpwstr>
  </property>
  <property fmtid="{D5CDD505-2E9C-101B-9397-08002B2CF9AE}" pid="10" name="MSIP_Label_dbba12b5-5c44-45c1-8d23-ce231b9c6da8_ActionId">
    <vt:lpwstr>075a2526-fb2c-40e3-a1a9-99f4a13c2c86</vt:lpwstr>
  </property>
  <property fmtid="{D5CDD505-2E9C-101B-9397-08002B2CF9AE}" pid="11" name="MSIP_Label_dbba12b5-5c44-45c1-8d23-ce231b9c6da8_ContentBits">
    <vt:lpwstr>1</vt:lpwstr>
  </property>
</Properties>
</file>