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3B31" w14:textId="77777777" w:rsidR="00674A43" w:rsidRPr="00506C73" w:rsidRDefault="00674A43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</w:rPr>
        <w:t xml:space="preserve">The Queensland Government is continuously examining ways to improve the Queensland public sector and its ability to meet the needs of Queenslanders. </w:t>
      </w:r>
    </w:p>
    <w:p w14:paraId="3DD324F8" w14:textId="001EDB69" w:rsidR="00674A43" w:rsidRPr="00506C73" w:rsidRDefault="00674A43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</w:rPr>
        <w:t xml:space="preserve">To ensure the Queensland public sector is the most responsive, consistent and reliable public service possible, the Queensland Government commissioned two key reviews: </w:t>
      </w:r>
      <w:bookmarkStart w:id="0" w:name="_Hlk7513489"/>
      <w:r w:rsidRPr="00506C73">
        <w:rPr>
          <w:rFonts w:ascii="Arial" w:hAnsi="Arial" w:cs="Arial"/>
          <w:spacing w:val="-2"/>
          <w:sz w:val="22"/>
          <w:szCs w:val="22"/>
        </w:rPr>
        <w:t xml:space="preserve">the </w:t>
      </w:r>
      <w:r w:rsidRPr="00506C73">
        <w:rPr>
          <w:rFonts w:ascii="Arial" w:hAnsi="Arial" w:cs="Arial"/>
          <w:i/>
          <w:spacing w:val="-2"/>
          <w:sz w:val="22"/>
          <w:szCs w:val="22"/>
        </w:rPr>
        <w:t>Review into the Queensland Public Sector Workforce Reporting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(Coaldrake Review) and </w:t>
      </w:r>
      <w:r w:rsidRPr="00506C73">
        <w:rPr>
          <w:rFonts w:ascii="Arial" w:hAnsi="Arial" w:cs="Arial"/>
          <w:i/>
          <w:spacing w:val="-2"/>
          <w:sz w:val="22"/>
          <w:szCs w:val="22"/>
        </w:rPr>
        <w:t>A Fair and Responsive Public Service for All: Independent Review of Queensland’s State Employment Laws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(Bridgman Review)</w:t>
      </w:r>
      <w:bookmarkEnd w:id="0"/>
      <w:r w:rsidRPr="00506C73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111DC640" w14:textId="1AF95057" w:rsidR="00674A43" w:rsidRPr="00506C73" w:rsidRDefault="00674A43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</w:rPr>
        <w:t xml:space="preserve">Finalised in December 2018, the Coaldrake Review </w:t>
      </w:r>
      <w:r w:rsidR="00947253" w:rsidRPr="00506C73">
        <w:rPr>
          <w:rFonts w:ascii="Arial" w:hAnsi="Arial" w:cs="Arial"/>
          <w:spacing w:val="-2"/>
          <w:sz w:val="22"/>
          <w:szCs w:val="22"/>
        </w:rPr>
        <w:t xml:space="preserve">made 13 recommendations for the Queensland Government </w:t>
      </w:r>
      <w:bookmarkStart w:id="1" w:name="_Hlk8146399"/>
      <w:r w:rsidR="00947253" w:rsidRPr="00506C73">
        <w:rPr>
          <w:rFonts w:ascii="Arial" w:hAnsi="Arial" w:cs="Arial"/>
          <w:spacing w:val="-2"/>
          <w:sz w:val="22"/>
          <w:szCs w:val="22"/>
        </w:rPr>
        <w:t>to improve public sector workforce reporting</w:t>
      </w:r>
      <w:bookmarkEnd w:id="1"/>
      <w:r w:rsidR="00722C62" w:rsidRPr="00506C73">
        <w:rPr>
          <w:rFonts w:ascii="Arial" w:hAnsi="Arial" w:cs="Arial"/>
          <w:spacing w:val="-2"/>
          <w:sz w:val="22"/>
          <w:szCs w:val="22"/>
        </w:rPr>
        <w:t>. The</w:t>
      </w:r>
      <w:r w:rsidR="00AC7F44" w:rsidRPr="00506C73">
        <w:rPr>
          <w:rFonts w:ascii="Arial" w:hAnsi="Arial" w:cs="Arial"/>
          <w:spacing w:val="-2"/>
          <w:sz w:val="22"/>
          <w:szCs w:val="22"/>
        </w:rPr>
        <w:t xml:space="preserve"> Queensland Government accepted</w:t>
      </w:r>
      <w:r w:rsidR="00947253" w:rsidRPr="00506C73">
        <w:rPr>
          <w:rFonts w:ascii="Arial" w:hAnsi="Arial" w:cs="Arial"/>
          <w:spacing w:val="-2"/>
          <w:sz w:val="22"/>
          <w:szCs w:val="22"/>
        </w:rPr>
        <w:t xml:space="preserve"> eight recommendations in full and five in-principle. </w:t>
      </w:r>
    </w:p>
    <w:p w14:paraId="141C9D4D" w14:textId="28F46C29" w:rsidR="00947253" w:rsidRPr="00506C73" w:rsidRDefault="00947253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</w:rPr>
        <w:t xml:space="preserve">Finalised in May 2019, the Bridgman Review made 99 recommendations for the Queensland Government </w:t>
      </w:r>
      <w:bookmarkStart w:id="2" w:name="_Hlk8146307"/>
      <w:r w:rsidRPr="00506C73">
        <w:rPr>
          <w:rFonts w:ascii="Arial" w:hAnsi="Arial" w:cs="Arial"/>
          <w:spacing w:val="-2"/>
          <w:sz w:val="22"/>
          <w:szCs w:val="22"/>
        </w:rPr>
        <w:t>to realise opportunities to improve public sector employment laws</w:t>
      </w:r>
      <w:bookmarkEnd w:id="2"/>
      <w:r w:rsidR="00722C62" w:rsidRPr="00506C73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292BFECF" w14:textId="03C77703" w:rsidR="007A3F63" w:rsidRPr="00506C73" w:rsidRDefault="007A3F63" w:rsidP="007A3F63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>Cabinet endorsed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the report of</w:t>
      </w:r>
      <w:r w:rsidR="00506C73" w:rsidRPr="00506C73">
        <w:rPr>
          <w:rFonts w:ascii="Arial" w:hAnsi="Arial" w:cs="Arial"/>
          <w:spacing w:val="-2"/>
          <w:sz w:val="22"/>
          <w:szCs w:val="22"/>
        </w:rPr>
        <w:t xml:space="preserve"> 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the </w:t>
      </w:r>
      <w:r w:rsidRPr="00506C73">
        <w:rPr>
          <w:rFonts w:ascii="Arial" w:hAnsi="Arial" w:cs="Arial"/>
          <w:i/>
          <w:spacing w:val="-2"/>
          <w:sz w:val="22"/>
          <w:szCs w:val="22"/>
        </w:rPr>
        <w:t>Review into the Queensland Public Sector Workforce Reporting</w:t>
      </w:r>
      <w:r w:rsidR="00E535A4">
        <w:rPr>
          <w:rFonts w:ascii="Arial" w:hAnsi="Arial" w:cs="Arial"/>
          <w:spacing w:val="-2"/>
          <w:sz w:val="22"/>
          <w:szCs w:val="22"/>
        </w:rPr>
        <w:t xml:space="preserve"> (</w:t>
      </w:r>
      <w:r w:rsidR="00E535A4" w:rsidRPr="00506C73">
        <w:rPr>
          <w:rFonts w:ascii="Arial" w:hAnsi="Arial" w:cs="Arial"/>
          <w:spacing w:val="-2"/>
          <w:sz w:val="22"/>
          <w:szCs w:val="22"/>
        </w:rPr>
        <w:t>the Coaldrake Review</w:t>
      </w:r>
      <w:r w:rsidR="00E535A4">
        <w:rPr>
          <w:rFonts w:ascii="Arial" w:hAnsi="Arial" w:cs="Arial"/>
          <w:spacing w:val="-2"/>
          <w:sz w:val="22"/>
          <w:szCs w:val="22"/>
        </w:rPr>
        <w:t>).</w:t>
      </w:r>
    </w:p>
    <w:p w14:paraId="6E3BAB61" w14:textId="60674B80" w:rsidR="00E535A4" w:rsidRPr="00506C73" w:rsidRDefault="007A3F63" w:rsidP="00E535A4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 xml:space="preserve">Cabinet </w:t>
      </w:r>
      <w:r w:rsidR="00506C73">
        <w:rPr>
          <w:rFonts w:ascii="Arial" w:hAnsi="Arial" w:cs="Arial"/>
          <w:spacing w:val="-2"/>
          <w:sz w:val="22"/>
          <w:szCs w:val="22"/>
          <w:u w:val="single"/>
        </w:rPr>
        <w:t>noted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the </w:t>
      </w:r>
      <w:r w:rsidR="00506C73">
        <w:rPr>
          <w:rFonts w:ascii="Arial" w:hAnsi="Arial" w:cs="Arial"/>
          <w:spacing w:val="-2"/>
          <w:sz w:val="22"/>
          <w:szCs w:val="22"/>
        </w:rPr>
        <w:t xml:space="preserve">report </w:t>
      </w:r>
      <w:r w:rsidR="00506C73" w:rsidRPr="00506C73">
        <w:rPr>
          <w:rFonts w:ascii="Arial" w:hAnsi="Arial" w:cs="Arial"/>
          <w:i/>
          <w:spacing w:val="-2"/>
          <w:sz w:val="22"/>
          <w:szCs w:val="22"/>
        </w:rPr>
        <w:t>A Fair and Responsive Public Service for All: Independent Review of Queensland’s State Employment Laws</w:t>
      </w:r>
      <w:r w:rsidR="00E535A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E535A4">
        <w:rPr>
          <w:rFonts w:ascii="Arial" w:hAnsi="Arial" w:cs="Arial"/>
          <w:spacing w:val="-2"/>
          <w:sz w:val="22"/>
          <w:szCs w:val="22"/>
        </w:rPr>
        <w:t>(</w:t>
      </w:r>
      <w:r w:rsidR="00E535A4" w:rsidRPr="00506C73">
        <w:rPr>
          <w:rFonts w:ascii="Arial" w:hAnsi="Arial" w:cs="Arial"/>
          <w:spacing w:val="-2"/>
          <w:sz w:val="22"/>
          <w:szCs w:val="22"/>
        </w:rPr>
        <w:t xml:space="preserve">the </w:t>
      </w:r>
      <w:r w:rsidR="00E535A4">
        <w:rPr>
          <w:rFonts w:ascii="Arial" w:hAnsi="Arial" w:cs="Arial"/>
          <w:spacing w:val="-2"/>
          <w:sz w:val="22"/>
          <w:szCs w:val="22"/>
        </w:rPr>
        <w:t>Bridgman</w:t>
      </w:r>
      <w:r w:rsidR="00E535A4" w:rsidRPr="00506C73">
        <w:rPr>
          <w:rFonts w:ascii="Arial" w:hAnsi="Arial" w:cs="Arial"/>
          <w:spacing w:val="-2"/>
          <w:sz w:val="22"/>
          <w:szCs w:val="22"/>
        </w:rPr>
        <w:t xml:space="preserve"> Review</w:t>
      </w:r>
      <w:r w:rsidR="00E535A4">
        <w:rPr>
          <w:rFonts w:ascii="Arial" w:hAnsi="Arial" w:cs="Arial"/>
          <w:spacing w:val="-2"/>
          <w:sz w:val="22"/>
          <w:szCs w:val="22"/>
        </w:rPr>
        <w:t>).</w:t>
      </w:r>
    </w:p>
    <w:p w14:paraId="1B9E1787" w14:textId="5937BD75" w:rsidR="00315698" w:rsidRPr="00506C73" w:rsidRDefault="00315698" w:rsidP="00315698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 xml:space="preserve">Cabinet </w:t>
      </w:r>
      <w:r w:rsidR="00423B85">
        <w:rPr>
          <w:rFonts w:ascii="Arial" w:hAnsi="Arial" w:cs="Arial"/>
          <w:spacing w:val="-2"/>
          <w:sz w:val="22"/>
          <w:szCs w:val="22"/>
          <w:u w:val="single"/>
        </w:rPr>
        <w:t xml:space="preserve">approved 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the </w:t>
      </w:r>
      <w:r w:rsidR="00423B85">
        <w:rPr>
          <w:rFonts w:ascii="Arial" w:hAnsi="Arial" w:cs="Arial"/>
          <w:spacing w:val="-2"/>
          <w:sz w:val="22"/>
          <w:szCs w:val="22"/>
        </w:rPr>
        <w:t xml:space="preserve">Queensland Government response to </w:t>
      </w:r>
      <w:r w:rsidRPr="00506C73">
        <w:rPr>
          <w:rFonts w:ascii="Arial" w:hAnsi="Arial" w:cs="Arial"/>
          <w:spacing w:val="-2"/>
          <w:sz w:val="22"/>
          <w:szCs w:val="22"/>
        </w:rPr>
        <w:t>the Coaldrake Review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37A31A01" w14:textId="7D986D2A" w:rsidR="00947253" w:rsidRPr="00506C73" w:rsidRDefault="00947253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>Cabinet approved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</w:t>
      </w:r>
      <w:r w:rsidR="00A515A5" w:rsidRPr="00A515A5">
        <w:rPr>
          <w:rFonts w:ascii="Arial" w:hAnsi="Arial" w:cs="Arial"/>
          <w:spacing w:val="-2"/>
          <w:sz w:val="22"/>
          <w:szCs w:val="22"/>
        </w:rPr>
        <w:t>the establishment of a Special Commissioner (Equity and Diversity) as recommended in the Bridgman Review</w:t>
      </w:r>
      <w:r w:rsidR="00722C62" w:rsidRPr="00506C73">
        <w:rPr>
          <w:rFonts w:ascii="Arial" w:hAnsi="Arial" w:cs="Arial"/>
          <w:spacing w:val="-2"/>
          <w:sz w:val="22"/>
          <w:szCs w:val="22"/>
        </w:rPr>
        <w:t>.</w:t>
      </w:r>
    </w:p>
    <w:p w14:paraId="37B8F6B5" w14:textId="0F1CAB85" w:rsidR="000F4292" w:rsidRPr="00506C73" w:rsidRDefault="000F4292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>Cabinet approved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the establishment of a Queensland Public Sector Reform Program Management Office within the Department of the Premier and Cabinet to consider implementation of the proposed public sector reforms</w:t>
      </w:r>
      <w:r w:rsidR="00DF3F9F" w:rsidRPr="00506C73">
        <w:rPr>
          <w:rFonts w:ascii="Arial" w:hAnsi="Arial" w:cs="Arial"/>
          <w:spacing w:val="-2"/>
          <w:sz w:val="22"/>
          <w:szCs w:val="22"/>
        </w:rPr>
        <w:t>.</w:t>
      </w:r>
    </w:p>
    <w:p w14:paraId="213BFDAF" w14:textId="081FFD61" w:rsidR="00D6589B" w:rsidRPr="00506C73" w:rsidRDefault="000F4292" w:rsidP="0021068A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spacing w:val="-2"/>
          <w:sz w:val="22"/>
          <w:szCs w:val="22"/>
          <w:u w:val="single"/>
        </w:rPr>
        <w:t>Cabinet approved</w:t>
      </w:r>
      <w:r w:rsidRPr="00506C73">
        <w:rPr>
          <w:rFonts w:ascii="Arial" w:hAnsi="Arial" w:cs="Arial"/>
          <w:spacing w:val="-2"/>
          <w:sz w:val="22"/>
          <w:szCs w:val="22"/>
        </w:rPr>
        <w:t xml:space="preserve"> </w:t>
      </w:r>
      <w:r w:rsidR="00DF3F9F" w:rsidRPr="00506C73">
        <w:rPr>
          <w:rFonts w:ascii="Arial" w:hAnsi="Arial" w:cs="Arial"/>
          <w:spacing w:val="-2"/>
          <w:sz w:val="22"/>
          <w:szCs w:val="22"/>
        </w:rPr>
        <w:t>the</w:t>
      </w:r>
      <w:r w:rsidR="002D2C0F">
        <w:rPr>
          <w:rFonts w:ascii="Arial" w:hAnsi="Arial" w:cs="Arial"/>
          <w:spacing w:val="-2"/>
          <w:sz w:val="22"/>
          <w:szCs w:val="22"/>
        </w:rPr>
        <w:t xml:space="preserve"> administrative</w:t>
      </w:r>
      <w:r w:rsidR="00DF3F9F" w:rsidRPr="00506C73">
        <w:rPr>
          <w:rFonts w:ascii="Arial" w:hAnsi="Arial" w:cs="Arial"/>
          <w:spacing w:val="-2"/>
          <w:sz w:val="22"/>
          <w:szCs w:val="22"/>
        </w:rPr>
        <w:t xml:space="preserve"> establishment of a Queensland Public Sector </w:t>
      </w:r>
      <w:r w:rsidR="00F417C5" w:rsidRPr="00506C73">
        <w:rPr>
          <w:rFonts w:ascii="Arial" w:hAnsi="Arial" w:cs="Arial"/>
          <w:spacing w:val="-2"/>
          <w:sz w:val="22"/>
          <w:szCs w:val="22"/>
        </w:rPr>
        <w:t xml:space="preserve">Governance </w:t>
      </w:r>
      <w:r w:rsidR="00DF3F9F" w:rsidRPr="00506C73">
        <w:rPr>
          <w:rFonts w:ascii="Arial" w:hAnsi="Arial" w:cs="Arial"/>
          <w:spacing w:val="-2"/>
          <w:sz w:val="22"/>
          <w:szCs w:val="22"/>
        </w:rPr>
        <w:t>Council.</w:t>
      </w:r>
      <w:r w:rsidR="00DF3F9F" w:rsidRPr="00506C73">
        <w:rPr>
          <w:spacing w:val="-2"/>
          <w:szCs w:val="24"/>
        </w:rPr>
        <w:t xml:space="preserve"> </w:t>
      </w:r>
    </w:p>
    <w:p w14:paraId="157FE68A" w14:textId="77777777" w:rsidR="00D6589B" w:rsidRPr="00506C73" w:rsidRDefault="00D6589B" w:rsidP="0021068A">
      <w:pPr>
        <w:keepNext/>
        <w:numPr>
          <w:ilvl w:val="0"/>
          <w:numId w:val="1"/>
        </w:numPr>
        <w:tabs>
          <w:tab w:val="clear" w:pos="720"/>
          <w:tab w:val="num" w:pos="360"/>
        </w:tabs>
        <w:spacing w:before="360"/>
        <w:ind w:left="357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i/>
          <w:spacing w:val="-2"/>
          <w:sz w:val="22"/>
          <w:szCs w:val="22"/>
          <w:u w:val="single"/>
        </w:rPr>
        <w:t>Attachments</w:t>
      </w:r>
    </w:p>
    <w:p w14:paraId="10176637" w14:textId="71E4BF4B" w:rsidR="00B85BCE" w:rsidRDefault="00AB0E1F" w:rsidP="00023C1F">
      <w:pPr>
        <w:numPr>
          <w:ilvl w:val="0"/>
          <w:numId w:val="2"/>
        </w:numPr>
        <w:spacing w:before="120"/>
        <w:jc w:val="both"/>
        <w:rPr>
          <w:rFonts w:ascii="Arial" w:hAnsi="Arial" w:cs="Arial"/>
          <w:spacing w:val="-2"/>
          <w:sz w:val="22"/>
          <w:szCs w:val="22"/>
        </w:rPr>
      </w:pPr>
      <w:r w:rsidRPr="00506C73">
        <w:rPr>
          <w:rFonts w:ascii="Arial" w:hAnsi="Arial" w:cs="Arial"/>
          <w:i/>
          <w:spacing w:val="-2"/>
          <w:sz w:val="22"/>
          <w:szCs w:val="22"/>
        </w:rPr>
        <w:t xml:space="preserve">The </w:t>
      </w:r>
      <w:r w:rsidR="00DF3F9F" w:rsidRPr="00506C73">
        <w:rPr>
          <w:rFonts w:ascii="Arial" w:hAnsi="Arial" w:cs="Arial"/>
          <w:i/>
          <w:spacing w:val="-2"/>
          <w:sz w:val="22"/>
          <w:szCs w:val="22"/>
        </w:rPr>
        <w:t>Review into the Queensland Public Sector Workforce</w:t>
      </w:r>
      <w:r w:rsidR="008E6CD9" w:rsidRPr="00506C73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06C73">
        <w:rPr>
          <w:rFonts w:ascii="Arial" w:hAnsi="Arial" w:cs="Arial"/>
          <w:spacing w:val="-2"/>
          <w:sz w:val="22"/>
          <w:szCs w:val="22"/>
        </w:rPr>
        <w:t>– the Coaldrake Re</w:t>
      </w:r>
      <w:r w:rsidR="00FB33AA">
        <w:rPr>
          <w:rFonts w:ascii="Arial" w:hAnsi="Arial" w:cs="Arial"/>
          <w:spacing w:val="-2"/>
          <w:sz w:val="22"/>
          <w:szCs w:val="22"/>
        </w:rPr>
        <w:t>view</w:t>
      </w:r>
      <w:r w:rsidR="00B85BCE">
        <w:rPr>
          <w:rFonts w:ascii="Arial" w:hAnsi="Arial" w:cs="Arial"/>
          <w:spacing w:val="-2"/>
          <w:sz w:val="22"/>
          <w:szCs w:val="22"/>
        </w:rPr>
        <w:t>:</w:t>
      </w:r>
    </w:p>
    <w:p w14:paraId="7EA3456A" w14:textId="05A6D5A1" w:rsidR="00023C1F" w:rsidRPr="00023C1F" w:rsidRDefault="0001280C" w:rsidP="00B85BCE">
      <w:pPr>
        <w:numPr>
          <w:ilvl w:val="1"/>
          <w:numId w:val="3"/>
        </w:numPr>
        <w:spacing w:before="120"/>
        <w:ind w:left="1267"/>
        <w:jc w:val="both"/>
        <w:rPr>
          <w:rFonts w:ascii="Arial" w:hAnsi="Arial" w:cs="Arial"/>
          <w:spacing w:val="-2"/>
          <w:sz w:val="22"/>
          <w:szCs w:val="22"/>
        </w:rPr>
      </w:pPr>
      <w:hyperlink r:id="rId10" w:history="1">
        <w:r w:rsidR="00023C1F" w:rsidRPr="003D0F39">
          <w:rPr>
            <w:rStyle w:val="Hyperlink"/>
            <w:rFonts w:ascii="Arial" w:hAnsi="Arial" w:cs="Arial"/>
            <w:spacing w:val="-2"/>
            <w:sz w:val="22"/>
            <w:szCs w:val="22"/>
          </w:rPr>
          <w:t>Reporting Issues Paper</w:t>
        </w:r>
      </w:hyperlink>
    </w:p>
    <w:p w14:paraId="58AAF668" w14:textId="11BF5E87" w:rsidR="00023C1F" w:rsidRPr="00023C1F" w:rsidRDefault="0001280C" w:rsidP="00B85BCE">
      <w:pPr>
        <w:numPr>
          <w:ilvl w:val="1"/>
          <w:numId w:val="3"/>
        </w:numPr>
        <w:spacing w:before="120"/>
        <w:ind w:left="1267"/>
        <w:jc w:val="both"/>
        <w:rPr>
          <w:rFonts w:ascii="Arial" w:hAnsi="Arial" w:cs="Arial"/>
          <w:spacing w:val="-2"/>
          <w:sz w:val="22"/>
          <w:szCs w:val="22"/>
        </w:rPr>
      </w:pPr>
      <w:hyperlink r:id="rId11" w:history="1">
        <w:r w:rsidR="00023C1F" w:rsidRPr="003D0F39">
          <w:rPr>
            <w:rStyle w:val="Hyperlink"/>
            <w:rFonts w:ascii="Arial" w:hAnsi="Arial" w:cs="Arial"/>
            <w:spacing w:val="-2"/>
            <w:sz w:val="22"/>
            <w:szCs w:val="22"/>
          </w:rPr>
          <w:t>Supplementary paper on Frontline and Fiscal Principle 6</w:t>
        </w:r>
      </w:hyperlink>
    </w:p>
    <w:p w14:paraId="31BBDA36" w14:textId="1839F9C8" w:rsidR="00023C1F" w:rsidRPr="00023C1F" w:rsidRDefault="0001280C" w:rsidP="00B85BCE">
      <w:pPr>
        <w:numPr>
          <w:ilvl w:val="1"/>
          <w:numId w:val="3"/>
        </w:numPr>
        <w:spacing w:before="120"/>
        <w:ind w:left="1267"/>
        <w:jc w:val="both"/>
        <w:rPr>
          <w:rFonts w:ascii="Arial" w:hAnsi="Arial" w:cs="Arial"/>
          <w:spacing w:val="-2"/>
          <w:sz w:val="22"/>
          <w:szCs w:val="22"/>
        </w:rPr>
      </w:pPr>
      <w:hyperlink r:id="rId12" w:history="1">
        <w:r w:rsidR="00023C1F" w:rsidRPr="003D0F39">
          <w:rPr>
            <w:rStyle w:val="Hyperlink"/>
            <w:rFonts w:ascii="Arial" w:hAnsi="Arial" w:cs="Arial"/>
            <w:spacing w:val="-2"/>
            <w:sz w:val="22"/>
            <w:szCs w:val="22"/>
          </w:rPr>
          <w:t>The Public Sector of Tomorrow</w:t>
        </w:r>
      </w:hyperlink>
      <w:r w:rsidR="00023C1F" w:rsidRPr="00023C1F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3DCF7E0F" w14:textId="4A23997B" w:rsidR="00DF3F9F" w:rsidRPr="00506C73" w:rsidRDefault="0001280C" w:rsidP="0021068A">
      <w:pPr>
        <w:numPr>
          <w:ilvl w:val="0"/>
          <w:numId w:val="2"/>
        </w:numPr>
        <w:tabs>
          <w:tab w:val="num" w:pos="280"/>
        </w:tabs>
        <w:spacing w:before="120"/>
        <w:ind w:left="811"/>
        <w:jc w:val="both"/>
        <w:rPr>
          <w:rFonts w:ascii="Arial" w:hAnsi="Arial" w:cs="Arial"/>
          <w:spacing w:val="-2"/>
          <w:sz w:val="22"/>
          <w:szCs w:val="22"/>
        </w:rPr>
      </w:pPr>
      <w:hyperlink r:id="rId13" w:history="1">
        <w:r w:rsidR="00AB0E1F" w:rsidRPr="003D0F39">
          <w:rPr>
            <w:rStyle w:val="Hyperlink"/>
            <w:rFonts w:ascii="Arial" w:hAnsi="Arial" w:cs="Arial"/>
            <w:i/>
            <w:spacing w:val="-2"/>
            <w:sz w:val="22"/>
            <w:szCs w:val="22"/>
          </w:rPr>
          <w:t xml:space="preserve">A </w:t>
        </w:r>
        <w:r w:rsidR="00DF3F9F" w:rsidRPr="003D0F39">
          <w:rPr>
            <w:rStyle w:val="Hyperlink"/>
            <w:rFonts w:ascii="Arial" w:hAnsi="Arial" w:cs="Arial"/>
            <w:i/>
            <w:spacing w:val="-2"/>
            <w:sz w:val="22"/>
            <w:szCs w:val="22"/>
          </w:rPr>
          <w:t>Fair and Responsive Public Service for All: Independent Review of Queensland’s State Employment Laws</w:t>
        </w:r>
        <w:r w:rsidR="008E6CD9" w:rsidRPr="003D0F39">
          <w:rPr>
            <w:rStyle w:val="Hyperlink"/>
            <w:rFonts w:ascii="Arial" w:hAnsi="Arial" w:cs="Arial"/>
            <w:i/>
            <w:spacing w:val="-2"/>
            <w:sz w:val="22"/>
            <w:szCs w:val="22"/>
          </w:rPr>
          <w:t xml:space="preserve"> </w:t>
        </w:r>
        <w:r w:rsidR="00AB0E1F" w:rsidRPr="003D0F39">
          <w:rPr>
            <w:rStyle w:val="Hyperlink"/>
            <w:rFonts w:ascii="Arial" w:hAnsi="Arial" w:cs="Arial"/>
            <w:spacing w:val="-2"/>
            <w:sz w:val="22"/>
            <w:szCs w:val="22"/>
          </w:rPr>
          <w:t>– the Bridgman Report</w:t>
        </w:r>
      </w:hyperlink>
    </w:p>
    <w:p w14:paraId="256C3666" w14:textId="1C87BB68" w:rsidR="00DF3F9F" w:rsidRPr="00506C73" w:rsidRDefault="0001280C" w:rsidP="0021068A">
      <w:pPr>
        <w:numPr>
          <w:ilvl w:val="0"/>
          <w:numId w:val="2"/>
        </w:numPr>
        <w:tabs>
          <w:tab w:val="num" w:pos="280"/>
        </w:tabs>
        <w:spacing w:before="120"/>
        <w:ind w:left="811"/>
        <w:jc w:val="both"/>
        <w:rPr>
          <w:rFonts w:ascii="Arial" w:hAnsi="Arial" w:cs="Arial"/>
          <w:spacing w:val="-2"/>
          <w:sz w:val="22"/>
          <w:szCs w:val="22"/>
        </w:rPr>
      </w:pPr>
      <w:hyperlink r:id="rId14" w:history="1">
        <w:r w:rsidR="00DF3F9F" w:rsidRPr="003D0F39">
          <w:rPr>
            <w:rStyle w:val="Hyperlink"/>
            <w:rFonts w:ascii="Arial" w:hAnsi="Arial" w:cs="Arial"/>
            <w:spacing w:val="-2"/>
            <w:sz w:val="22"/>
            <w:szCs w:val="22"/>
          </w:rPr>
          <w:t>Queensland Government response to the Coaldrake Review</w:t>
        </w:r>
      </w:hyperlink>
    </w:p>
    <w:sectPr w:rsidR="00DF3F9F" w:rsidRPr="00506C73" w:rsidSect="0021068A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FFEE6" w14:textId="77777777" w:rsidR="00C20588" w:rsidRDefault="00C20588" w:rsidP="00D6589B">
      <w:r>
        <w:separator/>
      </w:r>
    </w:p>
  </w:endnote>
  <w:endnote w:type="continuationSeparator" w:id="0">
    <w:p w14:paraId="40979C9C" w14:textId="77777777" w:rsidR="00C20588" w:rsidRDefault="00C20588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30F28" w14:textId="77777777" w:rsidR="00C20588" w:rsidRDefault="00C20588" w:rsidP="00D6589B">
      <w:r>
        <w:separator/>
      </w:r>
    </w:p>
  </w:footnote>
  <w:footnote w:type="continuationSeparator" w:id="0">
    <w:p w14:paraId="220C3365" w14:textId="77777777" w:rsidR="00C20588" w:rsidRDefault="00C20588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535F" w14:textId="77777777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7E5D3FBF" w14:textId="77777777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5A63733A" w14:textId="03600B9E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 w:rsidR="00DF3F9F">
      <w:rPr>
        <w:rFonts w:ascii="Arial" w:hAnsi="Arial" w:cs="Arial"/>
        <w:b/>
        <w:color w:val="auto"/>
        <w:sz w:val="22"/>
        <w:szCs w:val="22"/>
        <w:lang w:eastAsia="en-US"/>
      </w:rPr>
      <w:t>May 2019</w:t>
    </w:r>
  </w:p>
  <w:p w14:paraId="34486731" w14:textId="4E2E9C05" w:rsidR="00CB1501" w:rsidRDefault="00674A43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Queensland Public Sector Reform</w:t>
    </w:r>
  </w:p>
  <w:p w14:paraId="58AB8496" w14:textId="33AA152C" w:rsidR="00CB1501" w:rsidRDefault="00674A43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Premier and </w:t>
    </w:r>
    <w:r w:rsidR="00CB1501">
      <w:rPr>
        <w:rFonts w:ascii="Arial" w:hAnsi="Arial" w:cs="Arial"/>
        <w:b/>
        <w:sz w:val="22"/>
        <w:szCs w:val="22"/>
        <w:u w:val="single"/>
      </w:rPr>
      <w:t>Minister</w:t>
    </w:r>
    <w:r>
      <w:rPr>
        <w:rFonts w:ascii="Arial" w:hAnsi="Arial" w:cs="Arial"/>
        <w:b/>
        <w:sz w:val="22"/>
        <w:szCs w:val="22"/>
        <w:u w:val="single"/>
      </w:rPr>
      <w:t xml:space="preserve"> for Trade</w:t>
    </w:r>
  </w:p>
  <w:p w14:paraId="1EFB17B2" w14:textId="10DC5B9F" w:rsidR="00674A43" w:rsidRDefault="00674A43" w:rsidP="0021068A">
    <w:pPr>
      <w:pStyle w:val="Head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Deputy Premier, Treasurer and Minister for Aboriginal and Torres Strait Islander Partnerships</w:t>
    </w:r>
  </w:p>
  <w:p w14:paraId="470A5AC3" w14:textId="77777777" w:rsidR="00CB1501" w:rsidRDefault="00CB1501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048DF"/>
    <w:multiLevelType w:val="hybridMultilevel"/>
    <w:tmpl w:val="C4BAC5C6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77"/>
    <w:rsid w:val="0001280C"/>
    <w:rsid w:val="00023C1F"/>
    <w:rsid w:val="00080F8F"/>
    <w:rsid w:val="000C71C8"/>
    <w:rsid w:val="000F4292"/>
    <w:rsid w:val="0010384C"/>
    <w:rsid w:val="00152095"/>
    <w:rsid w:val="00174117"/>
    <w:rsid w:val="001B5E3B"/>
    <w:rsid w:val="0021068A"/>
    <w:rsid w:val="00270E21"/>
    <w:rsid w:val="002D2C0F"/>
    <w:rsid w:val="00301F0D"/>
    <w:rsid w:val="00304FB8"/>
    <w:rsid w:val="00315698"/>
    <w:rsid w:val="00326C03"/>
    <w:rsid w:val="0038344B"/>
    <w:rsid w:val="00387E0A"/>
    <w:rsid w:val="003A3BDD"/>
    <w:rsid w:val="003B5101"/>
    <w:rsid w:val="003D0F39"/>
    <w:rsid w:val="003D77F7"/>
    <w:rsid w:val="00413E72"/>
    <w:rsid w:val="00423B85"/>
    <w:rsid w:val="0043543B"/>
    <w:rsid w:val="00497FC8"/>
    <w:rsid w:val="00501C66"/>
    <w:rsid w:val="00506C73"/>
    <w:rsid w:val="00550873"/>
    <w:rsid w:val="005748D6"/>
    <w:rsid w:val="005A0A13"/>
    <w:rsid w:val="00674A43"/>
    <w:rsid w:val="00687CD7"/>
    <w:rsid w:val="006D0CC8"/>
    <w:rsid w:val="00722C62"/>
    <w:rsid w:val="007265D0"/>
    <w:rsid w:val="00732E22"/>
    <w:rsid w:val="00741C20"/>
    <w:rsid w:val="00781FF4"/>
    <w:rsid w:val="007A3F63"/>
    <w:rsid w:val="007F44F4"/>
    <w:rsid w:val="00815522"/>
    <w:rsid w:val="0085576E"/>
    <w:rsid w:val="00862B2C"/>
    <w:rsid w:val="008927A1"/>
    <w:rsid w:val="008E6CD9"/>
    <w:rsid w:val="00904077"/>
    <w:rsid w:val="00924E50"/>
    <w:rsid w:val="00937A4A"/>
    <w:rsid w:val="00947253"/>
    <w:rsid w:val="00962E8D"/>
    <w:rsid w:val="009874EE"/>
    <w:rsid w:val="00A515A5"/>
    <w:rsid w:val="00AA5999"/>
    <w:rsid w:val="00AB0E1F"/>
    <w:rsid w:val="00AB61F2"/>
    <w:rsid w:val="00AC7F44"/>
    <w:rsid w:val="00AD4006"/>
    <w:rsid w:val="00AE302E"/>
    <w:rsid w:val="00AE458C"/>
    <w:rsid w:val="00B408F2"/>
    <w:rsid w:val="00B71DE8"/>
    <w:rsid w:val="00B85BCE"/>
    <w:rsid w:val="00B95A06"/>
    <w:rsid w:val="00BB7AA5"/>
    <w:rsid w:val="00C1153A"/>
    <w:rsid w:val="00C20588"/>
    <w:rsid w:val="00C57021"/>
    <w:rsid w:val="00C75E67"/>
    <w:rsid w:val="00CB1501"/>
    <w:rsid w:val="00CD7A50"/>
    <w:rsid w:val="00CE1B4C"/>
    <w:rsid w:val="00CF0D8A"/>
    <w:rsid w:val="00CF7D77"/>
    <w:rsid w:val="00D6589B"/>
    <w:rsid w:val="00DC7F4C"/>
    <w:rsid w:val="00DF3F9F"/>
    <w:rsid w:val="00E535A4"/>
    <w:rsid w:val="00E6223E"/>
    <w:rsid w:val="00F044ED"/>
    <w:rsid w:val="00F24A8A"/>
    <w:rsid w:val="00F25402"/>
    <w:rsid w:val="00F417C5"/>
    <w:rsid w:val="00F45B99"/>
    <w:rsid w:val="00F47196"/>
    <w:rsid w:val="00F94D48"/>
    <w:rsid w:val="00FB33AA"/>
    <w:rsid w:val="00FD0A3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6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A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1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B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B4C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B4C"/>
    <w:rPr>
      <w:rFonts w:ascii="Times New Roman" w:eastAsia="Times New Roman" w:hAnsi="Times New Roman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3D0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3589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353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ttachments/BridgmanReview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ttachments/CoaldrakeStage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ttachments/CoaldrakeStage1Supp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Attachments/CoaldrakeStage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ttachments/ResponseCoaldrak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pcqld.sharepoint.com/wordtemplates/Documents/DPC/Cabinet/Cab%20Sub%20-%20Att%20-%20Proactive%20Release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2" ma:contentTypeDescription="Create a new document." ma:contentTypeScope="" ma:versionID="7e538717045ba8c4542e567ba37eee19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a224d5baee3e657733ae9bfbebb045c8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1B1D-A6D3-4A47-8094-220E4BC07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61486-40DC-4A20-A44E-24F0898B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DAFE8-8EBC-4A19-8F84-1DB5AA4F2A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e311de-a790-43ff-be63-577c26c7507c"/>
    <ds:schemaRef ds:uri="b8ed82f2-f7bd-423c-8698-5e132afe924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Cab%20Sub%20-%20Att%20-%20Proactive%20Release%20Summary.dotx</Template>
  <TotalTime>115</TotalTime>
  <Pages>1</Pages>
  <Words>332</Words>
  <Characters>2006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Proactive Release Summary</vt:lpstr>
    </vt:vector>
  </TitlesOfParts>
  <Manager/>
  <Company/>
  <LinksUpToDate>false</LinksUpToDate>
  <CharactersWithSpaces>2317</CharactersWithSpaces>
  <SharedDoc>false</SharedDoc>
  <HyperlinkBase>https://www.cabinet.qld.gov.au/documents/2019/May/PSR/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Release Summary</dc:title>
  <dc:subject/>
  <dc:creator/>
  <cp:keywords/>
  <cp:lastModifiedBy/>
  <cp:revision>52</cp:revision>
  <dcterms:created xsi:type="dcterms:W3CDTF">2019-05-07T03:09:00Z</dcterms:created>
  <dcterms:modified xsi:type="dcterms:W3CDTF">2020-08-11T02:44:00Z</dcterms:modified>
  <cp:category>Public_Service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0x010100DDE14CFDD070B24F85F5DE43654FF01E</vt:lpwstr>
  </property>
  <property fmtid="{D5CDD505-2E9C-101B-9397-08002B2CF9AE}" pid="3" name="Document Type">
    <vt:lpwstr>Cabinet Submission</vt:lpwstr>
  </property>
</Properties>
</file>