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9511" w14:textId="77777777" w:rsidR="00727F4C" w:rsidRDefault="00375936" w:rsidP="002713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bookmarkStart w:id="0" w:name="_GoBack"/>
      <w:bookmarkEnd w:id="0"/>
      <w:r>
        <w:t>The</w:t>
      </w:r>
      <w:r>
        <w:rPr>
          <w:spacing w:val="-13"/>
        </w:rPr>
        <w:t xml:space="preserve"> </w:t>
      </w:r>
      <w:r>
        <w:rPr>
          <w:spacing w:val="-3"/>
        </w:rPr>
        <w:t>Public</w:t>
      </w:r>
      <w:r>
        <w:rPr>
          <w:spacing w:val="-15"/>
        </w:rPr>
        <w:t xml:space="preserve"> </w:t>
      </w:r>
      <w:r>
        <w:rPr>
          <w:spacing w:val="-4"/>
        </w:rPr>
        <w:t>Transport</w:t>
      </w:r>
      <w:r>
        <w:rPr>
          <w:spacing w:val="-12"/>
        </w:rPr>
        <w:t xml:space="preserve"> </w:t>
      </w:r>
      <w:r>
        <w:rPr>
          <w:spacing w:val="-4"/>
        </w:rPr>
        <w:t>Fares</w:t>
      </w:r>
      <w:r>
        <w:rPr>
          <w:spacing w:val="-11"/>
        </w:rPr>
        <w:t xml:space="preserve"> </w:t>
      </w:r>
      <w:r>
        <w:rPr>
          <w:spacing w:val="-4"/>
        </w:rPr>
        <w:t>Advisory</w:t>
      </w:r>
      <w:r>
        <w:rPr>
          <w:spacing w:val="-15"/>
        </w:rPr>
        <w:t xml:space="preserve"> </w:t>
      </w:r>
      <w:r>
        <w:rPr>
          <w:spacing w:val="-3"/>
        </w:rPr>
        <w:t>Panel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3"/>
        </w:rPr>
        <w:t>part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Fairer</w:t>
      </w:r>
      <w:r>
        <w:rPr>
          <w:spacing w:val="-12"/>
        </w:rPr>
        <w:t xml:space="preserve"> </w:t>
      </w:r>
      <w:r>
        <w:rPr>
          <w:spacing w:val="-4"/>
        </w:rPr>
        <w:t>Fares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4"/>
        </w:rPr>
        <w:t>South</w:t>
      </w:r>
      <w:r>
        <w:rPr>
          <w:spacing w:val="-13"/>
        </w:rPr>
        <w:t xml:space="preserve"> </w:t>
      </w:r>
      <w:r>
        <w:rPr>
          <w:spacing w:val="-4"/>
        </w:rPr>
        <w:t>East</w:t>
      </w:r>
      <w:r>
        <w:rPr>
          <w:spacing w:val="-14"/>
        </w:rPr>
        <w:t xml:space="preserve"> </w:t>
      </w:r>
      <w:r>
        <w:rPr>
          <w:spacing w:val="-4"/>
        </w:rPr>
        <w:t>Queensland</w:t>
      </w:r>
      <w:r w:rsidR="009F7E72">
        <w:rPr>
          <w:spacing w:val="-4"/>
        </w:rPr>
        <w:t xml:space="preserve"> (SEQ)</w:t>
      </w:r>
      <w:r>
        <w:rPr>
          <w:spacing w:val="-4"/>
        </w:rPr>
        <w:t xml:space="preserve">, </w:t>
      </w:r>
      <w:r>
        <w:t xml:space="preserve">the </w:t>
      </w:r>
      <w:r>
        <w:rPr>
          <w:spacing w:val="-4"/>
        </w:rPr>
        <w:t xml:space="preserve">Government’s response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SEQ </w:t>
      </w:r>
      <w:r>
        <w:rPr>
          <w:spacing w:val="-3"/>
        </w:rPr>
        <w:t>Fare</w:t>
      </w:r>
      <w:r>
        <w:rPr>
          <w:spacing w:val="-8"/>
        </w:rPr>
        <w:t xml:space="preserve"> </w:t>
      </w:r>
      <w:r>
        <w:rPr>
          <w:spacing w:val="-4"/>
        </w:rPr>
        <w:t>Review.</w:t>
      </w:r>
    </w:p>
    <w:p w14:paraId="68AE464E" w14:textId="77777777" w:rsidR="00727F4C" w:rsidRDefault="00375936" w:rsidP="002713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4"/>
        </w:rPr>
        <w:t>Public</w:t>
      </w:r>
      <w:r>
        <w:rPr>
          <w:spacing w:val="-12"/>
        </w:rPr>
        <w:t xml:space="preserve"> </w:t>
      </w:r>
      <w:r>
        <w:rPr>
          <w:spacing w:val="-4"/>
        </w:rPr>
        <w:t>Transport</w:t>
      </w:r>
      <w:r>
        <w:rPr>
          <w:spacing w:val="-8"/>
        </w:rPr>
        <w:t xml:space="preserve"> </w:t>
      </w:r>
      <w:r>
        <w:rPr>
          <w:spacing w:val="-4"/>
        </w:rPr>
        <w:t>Fares</w:t>
      </w:r>
      <w:r>
        <w:rPr>
          <w:spacing w:val="-9"/>
        </w:rPr>
        <w:t xml:space="preserve"> </w:t>
      </w:r>
      <w:r>
        <w:rPr>
          <w:spacing w:val="-4"/>
        </w:rPr>
        <w:t>Advisory</w:t>
      </w:r>
      <w:r>
        <w:rPr>
          <w:spacing w:val="-9"/>
        </w:rPr>
        <w:t xml:space="preserve"> </w:t>
      </w:r>
      <w:r>
        <w:rPr>
          <w:spacing w:val="-3"/>
        </w:rPr>
        <w:t>Panel</w:t>
      </w:r>
      <w:r>
        <w:rPr>
          <w:spacing w:val="-11"/>
        </w:rPr>
        <w:t xml:space="preserve"> </w:t>
      </w:r>
      <w:r w:rsidR="00454C07">
        <w:rPr>
          <w:spacing w:val="-4"/>
        </w:rPr>
        <w:t>will</w:t>
      </w:r>
      <w:r w:rsidR="009F7E72">
        <w:rPr>
          <w:spacing w:val="-7"/>
        </w:rPr>
        <w:t xml:space="preserve"> </w:t>
      </w:r>
      <w:r>
        <w:rPr>
          <w:spacing w:val="-4"/>
        </w:rPr>
        <w:t>provide</w:t>
      </w:r>
      <w:r>
        <w:rPr>
          <w:spacing w:val="-7"/>
        </w:rPr>
        <w:t xml:space="preserve"> </w:t>
      </w:r>
      <w:r>
        <w:rPr>
          <w:spacing w:val="-4"/>
        </w:rPr>
        <w:t>high-level,</w:t>
      </w:r>
      <w:r>
        <w:rPr>
          <w:spacing w:val="-8"/>
        </w:rPr>
        <w:t xml:space="preserve"> </w:t>
      </w:r>
      <w:r>
        <w:rPr>
          <w:spacing w:val="-4"/>
        </w:rPr>
        <w:t>independent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specialist </w:t>
      </w:r>
      <w:r>
        <w:rPr>
          <w:spacing w:val="-3"/>
        </w:rPr>
        <w:t xml:space="preserve">advice </w:t>
      </w:r>
      <w:r>
        <w:t xml:space="preserve">to </w:t>
      </w:r>
      <w:r>
        <w:rPr>
          <w:spacing w:val="-4"/>
        </w:rPr>
        <w:t xml:space="preserve">government </w:t>
      </w:r>
      <w:r>
        <w:t xml:space="preserve">on </w:t>
      </w:r>
      <w:r>
        <w:rPr>
          <w:spacing w:val="-4"/>
        </w:rPr>
        <w:t xml:space="preserve">proposed changes </w:t>
      </w:r>
      <w:r>
        <w:t xml:space="preserve">to </w:t>
      </w:r>
      <w:r>
        <w:rPr>
          <w:spacing w:val="-4"/>
        </w:rPr>
        <w:t xml:space="preserve">public transport fares, products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4"/>
        </w:rPr>
        <w:t>ticketing.</w:t>
      </w:r>
    </w:p>
    <w:p w14:paraId="3119CF25" w14:textId="6B1A2999" w:rsidR="00727F4C" w:rsidRDefault="00375936" w:rsidP="002713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>
        <w:t>The</w:t>
      </w:r>
      <w:r>
        <w:rPr>
          <w:spacing w:val="-16"/>
        </w:rPr>
        <w:t xml:space="preserve"> </w:t>
      </w:r>
      <w:r>
        <w:rPr>
          <w:spacing w:val="-3"/>
        </w:rPr>
        <w:t>Public</w:t>
      </w:r>
      <w:r>
        <w:rPr>
          <w:spacing w:val="-18"/>
        </w:rPr>
        <w:t xml:space="preserve"> </w:t>
      </w:r>
      <w:r>
        <w:rPr>
          <w:spacing w:val="-4"/>
        </w:rPr>
        <w:t>Transport</w:t>
      </w:r>
      <w:r>
        <w:rPr>
          <w:spacing w:val="-13"/>
        </w:rPr>
        <w:t xml:space="preserve"> </w:t>
      </w:r>
      <w:r>
        <w:rPr>
          <w:spacing w:val="-4"/>
        </w:rPr>
        <w:t>Fares</w:t>
      </w:r>
      <w:r>
        <w:rPr>
          <w:spacing w:val="-12"/>
        </w:rPr>
        <w:t xml:space="preserve"> </w:t>
      </w:r>
      <w:r>
        <w:rPr>
          <w:spacing w:val="-4"/>
        </w:rPr>
        <w:t>Advisory</w:t>
      </w:r>
      <w:r>
        <w:rPr>
          <w:spacing w:val="-18"/>
        </w:rPr>
        <w:t xml:space="preserve"> </w:t>
      </w:r>
      <w:r>
        <w:rPr>
          <w:spacing w:val="-3"/>
        </w:rPr>
        <w:t>Panel</w:t>
      </w:r>
      <w:r>
        <w:rPr>
          <w:spacing w:val="-13"/>
        </w:rPr>
        <w:t xml:space="preserve"> </w:t>
      </w:r>
      <w:r w:rsidR="009347EC">
        <w:rPr>
          <w:spacing w:val="-4"/>
        </w:rPr>
        <w:t>would</w:t>
      </w:r>
      <w:r w:rsidR="009347EC">
        <w:rPr>
          <w:spacing w:val="-13"/>
        </w:rPr>
        <w:t xml:space="preserve"> </w:t>
      </w:r>
      <w:r>
        <w:rPr>
          <w:spacing w:val="-3"/>
        </w:rPr>
        <w:t>build</w:t>
      </w:r>
      <w:r>
        <w:rPr>
          <w:spacing w:val="-16"/>
        </w:rPr>
        <w:t xml:space="preserve"> </w:t>
      </w:r>
      <w:r>
        <w:rPr>
          <w:spacing w:val="-3"/>
        </w:rPr>
        <w:t>on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Fairer</w:t>
      </w:r>
      <w:r>
        <w:rPr>
          <w:spacing w:val="-14"/>
        </w:rPr>
        <w:t xml:space="preserve"> </w:t>
      </w:r>
      <w:r>
        <w:rPr>
          <w:spacing w:val="-4"/>
        </w:rPr>
        <w:t>Fares</w:t>
      </w:r>
      <w:r>
        <w:rPr>
          <w:spacing w:val="-14"/>
        </w:rPr>
        <w:t xml:space="preserve"> </w:t>
      </w:r>
      <w:r>
        <w:rPr>
          <w:spacing w:val="-4"/>
        </w:rPr>
        <w:t xml:space="preserve">review </w:t>
      </w:r>
      <w:r>
        <w:t xml:space="preserve">and </w:t>
      </w:r>
      <w:r>
        <w:rPr>
          <w:spacing w:val="-4"/>
        </w:rPr>
        <w:t xml:space="preserve">ensure </w:t>
      </w:r>
      <w:r>
        <w:rPr>
          <w:spacing w:val="-3"/>
        </w:rPr>
        <w:t xml:space="preserve">that </w:t>
      </w:r>
      <w:r>
        <w:t xml:space="preserve">the </w:t>
      </w:r>
      <w:r>
        <w:rPr>
          <w:spacing w:val="-3"/>
        </w:rPr>
        <w:t xml:space="preserve">fare </w:t>
      </w:r>
      <w:r>
        <w:rPr>
          <w:spacing w:val="-4"/>
        </w:rPr>
        <w:t xml:space="preserve">setting process remains transparent. </w:t>
      </w:r>
      <w:r>
        <w:rPr>
          <w:spacing w:val="-3"/>
        </w:rPr>
        <w:t xml:space="preserve">The advice </w:t>
      </w:r>
      <w:r w:rsidR="0054475A">
        <w:rPr>
          <w:spacing w:val="-4"/>
        </w:rPr>
        <w:t xml:space="preserve">would </w:t>
      </w:r>
      <w:r>
        <w:rPr>
          <w:spacing w:val="-3"/>
        </w:rPr>
        <w:t xml:space="preserve">help </w:t>
      </w:r>
      <w:r w:rsidR="0054475A">
        <w:rPr>
          <w:spacing w:val="-3"/>
        </w:rPr>
        <w:t xml:space="preserve">to </w:t>
      </w:r>
      <w:r>
        <w:rPr>
          <w:spacing w:val="-4"/>
        </w:rPr>
        <w:t>inform government</w:t>
      </w:r>
      <w:r>
        <w:rPr>
          <w:spacing w:val="-10"/>
        </w:rPr>
        <w:t xml:space="preserve"> </w:t>
      </w:r>
      <w:r>
        <w:rPr>
          <w:spacing w:val="-4"/>
        </w:rPr>
        <w:t>decisions</w:t>
      </w:r>
      <w:r>
        <w:rPr>
          <w:spacing w:val="-11"/>
        </w:rPr>
        <w:t xml:space="preserve"> </w:t>
      </w:r>
      <w:r>
        <w:rPr>
          <w:spacing w:val="-3"/>
        </w:rPr>
        <w:t>about</w:t>
      </w:r>
      <w:r>
        <w:rPr>
          <w:spacing w:val="-10"/>
        </w:rPr>
        <w:t xml:space="preserve"> </w:t>
      </w:r>
      <w:r>
        <w:rPr>
          <w:spacing w:val="-3"/>
        </w:rPr>
        <w:t>public</w:t>
      </w:r>
      <w:r>
        <w:rPr>
          <w:spacing w:val="-11"/>
        </w:rPr>
        <w:t xml:space="preserve"> </w:t>
      </w:r>
      <w:r>
        <w:rPr>
          <w:spacing w:val="-4"/>
        </w:rPr>
        <w:t>transport</w:t>
      </w:r>
      <w:r>
        <w:rPr>
          <w:spacing w:val="-10"/>
        </w:rPr>
        <w:t xml:space="preserve"> </w:t>
      </w:r>
      <w:r>
        <w:rPr>
          <w:spacing w:val="-3"/>
        </w:rPr>
        <w:t>fares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provide</w:t>
      </w:r>
      <w:r>
        <w:rPr>
          <w:spacing w:val="-8"/>
        </w:rPr>
        <w:t xml:space="preserve"> </w:t>
      </w:r>
      <w:r>
        <w:rPr>
          <w:spacing w:val="-3"/>
        </w:rPr>
        <w:t>advice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potential</w:t>
      </w:r>
      <w:r>
        <w:rPr>
          <w:spacing w:val="-8"/>
        </w:rPr>
        <w:t xml:space="preserve"> </w:t>
      </w:r>
      <w:r>
        <w:rPr>
          <w:spacing w:val="-4"/>
        </w:rPr>
        <w:t xml:space="preserve">impact </w:t>
      </w:r>
      <w:r>
        <w:t xml:space="preserve">on </w:t>
      </w:r>
      <w:r>
        <w:rPr>
          <w:spacing w:val="-4"/>
        </w:rPr>
        <w:t xml:space="preserve">patronage </w:t>
      </w:r>
      <w:r>
        <w:rPr>
          <w:spacing w:val="-3"/>
        </w:rPr>
        <w:t>of fare</w:t>
      </w:r>
      <w:r>
        <w:rPr>
          <w:spacing w:val="-1"/>
        </w:rPr>
        <w:t xml:space="preserve"> </w:t>
      </w:r>
      <w:r>
        <w:rPr>
          <w:spacing w:val="-4"/>
        </w:rPr>
        <w:t>changes.</w:t>
      </w:r>
    </w:p>
    <w:p w14:paraId="35AD386B" w14:textId="77777777" w:rsidR="00727F4C" w:rsidRDefault="00375936" w:rsidP="002713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>
        <w:t xml:space="preserve">The </w:t>
      </w:r>
      <w:r>
        <w:rPr>
          <w:spacing w:val="-3"/>
        </w:rPr>
        <w:t xml:space="preserve">Public </w:t>
      </w:r>
      <w:r>
        <w:rPr>
          <w:spacing w:val="-4"/>
        </w:rPr>
        <w:t xml:space="preserve">Transport </w:t>
      </w:r>
      <w:r>
        <w:rPr>
          <w:spacing w:val="-3"/>
        </w:rPr>
        <w:t xml:space="preserve">Fares </w:t>
      </w:r>
      <w:r>
        <w:rPr>
          <w:spacing w:val="-4"/>
        </w:rPr>
        <w:t xml:space="preserve">Advisory Panel consists </w:t>
      </w:r>
      <w:r>
        <w:rPr>
          <w:spacing w:val="-3"/>
        </w:rPr>
        <w:t xml:space="preserve">of </w:t>
      </w:r>
      <w:r>
        <w:rPr>
          <w:spacing w:val="-4"/>
        </w:rPr>
        <w:t xml:space="preserve">members </w:t>
      </w:r>
      <w:r>
        <w:rPr>
          <w:spacing w:val="-3"/>
        </w:rPr>
        <w:t xml:space="preserve">of the </w:t>
      </w:r>
      <w:r>
        <w:rPr>
          <w:spacing w:val="-4"/>
        </w:rPr>
        <w:t xml:space="preserve">academic </w:t>
      </w:r>
      <w:r>
        <w:rPr>
          <w:spacing w:val="-3"/>
        </w:rPr>
        <w:t xml:space="preserve">and </w:t>
      </w:r>
      <w:r>
        <w:rPr>
          <w:spacing w:val="-4"/>
        </w:rPr>
        <w:t xml:space="preserve">business communities, </w:t>
      </w:r>
      <w:r>
        <w:t xml:space="preserve">as </w:t>
      </w:r>
      <w:r>
        <w:rPr>
          <w:spacing w:val="-4"/>
        </w:rPr>
        <w:t xml:space="preserve">well </w:t>
      </w:r>
      <w:r>
        <w:t xml:space="preserve">as </w:t>
      </w:r>
      <w:r>
        <w:rPr>
          <w:spacing w:val="-4"/>
        </w:rPr>
        <w:t xml:space="preserve">representatives </w:t>
      </w:r>
      <w:r w:rsidR="00454C07">
        <w:rPr>
          <w:spacing w:val="-3"/>
        </w:rPr>
        <w:t>from not-for-</w:t>
      </w:r>
      <w:r>
        <w:rPr>
          <w:spacing w:val="-4"/>
        </w:rPr>
        <w:t>profit</w:t>
      </w:r>
      <w:r>
        <w:rPr>
          <w:spacing w:val="18"/>
        </w:rPr>
        <w:t xml:space="preserve"> </w:t>
      </w:r>
      <w:r>
        <w:rPr>
          <w:spacing w:val="-4"/>
        </w:rPr>
        <w:t>organisations.</w:t>
      </w:r>
    </w:p>
    <w:p w14:paraId="0EBEBBF4" w14:textId="77777777" w:rsidR="00727F4C" w:rsidRDefault="00375936" w:rsidP="002713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>
        <w:rPr>
          <w:u w:val="single"/>
        </w:rPr>
        <w:t>Cabinet approved</w:t>
      </w:r>
      <w:r>
        <w:t xml:space="preserve"> the </w:t>
      </w:r>
      <w:r>
        <w:rPr>
          <w:spacing w:val="-4"/>
        </w:rPr>
        <w:t xml:space="preserve">establishment </w:t>
      </w:r>
      <w:r>
        <w:rPr>
          <w:spacing w:val="-3"/>
        </w:rPr>
        <w:t xml:space="preserve">of the </w:t>
      </w:r>
      <w:r>
        <w:rPr>
          <w:spacing w:val="-4"/>
        </w:rPr>
        <w:t xml:space="preserve">Public Transport </w:t>
      </w:r>
      <w:r>
        <w:rPr>
          <w:spacing w:val="-3"/>
        </w:rPr>
        <w:t xml:space="preserve">Fares </w:t>
      </w:r>
      <w:r>
        <w:rPr>
          <w:spacing w:val="-4"/>
        </w:rPr>
        <w:t>Advisory</w:t>
      </w:r>
      <w:r>
        <w:rPr>
          <w:spacing w:val="3"/>
        </w:rPr>
        <w:t xml:space="preserve"> </w:t>
      </w:r>
      <w:r>
        <w:rPr>
          <w:spacing w:val="-4"/>
        </w:rPr>
        <w:t>Panel.</w:t>
      </w:r>
    </w:p>
    <w:p w14:paraId="37B616DA" w14:textId="77777777" w:rsidR="00727F4C" w:rsidRDefault="00375936" w:rsidP="00653035">
      <w:pPr>
        <w:pStyle w:val="ListParagraph"/>
        <w:numPr>
          <w:ilvl w:val="0"/>
          <w:numId w:val="1"/>
        </w:numPr>
        <w:tabs>
          <w:tab w:val="left" w:pos="426"/>
        </w:tabs>
        <w:spacing w:before="240" w:after="120"/>
        <w:ind w:left="425" w:hanging="425"/>
        <w:jc w:val="both"/>
      </w:pPr>
      <w:r>
        <w:rPr>
          <w:u w:val="single"/>
        </w:rPr>
        <w:t xml:space="preserve">Cabinet </w:t>
      </w:r>
      <w:r w:rsidR="009F7E72">
        <w:rPr>
          <w:u w:val="single"/>
        </w:rPr>
        <w:t>noted</w:t>
      </w:r>
      <w:r w:rsidR="009F7E72">
        <w:t xml:space="preserve"> </w:t>
      </w:r>
      <w:r>
        <w:t xml:space="preserve">the </w:t>
      </w:r>
      <w:r w:rsidR="009F7E72">
        <w:t xml:space="preserve">intention of the Minister for Transport and </w:t>
      </w:r>
      <w:r w:rsidR="00FE3F68">
        <w:t>Main Roads to appoint the following nominees below to the Public Transport Fares Advisory Panel commencing from the date of Ministerial advice to the nominees:</w:t>
      </w:r>
    </w:p>
    <w:p w14:paraId="5F977BC4" w14:textId="77777777" w:rsidR="00727F4C" w:rsidRDefault="00727F4C" w:rsidP="009F7E72">
      <w:pPr>
        <w:pStyle w:val="BodyText"/>
        <w:tabs>
          <w:tab w:val="left" w:pos="426"/>
        </w:tabs>
        <w:spacing w:before="7"/>
        <w:ind w:left="426" w:right="2" w:hanging="426"/>
        <w:jc w:val="both"/>
        <w:rPr>
          <w:sz w:val="10"/>
        </w:rPr>
      </w:pPr>
    </w:p>
    <w:tbl>
      <w:tblPr>
        <w:tblW w:w="7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2126"/>
        <w:gridCol w:w="1492"/>
      </w:tblGrid>
      <w:tr w:rsidR="00727F4C" w14:paraId="5B6D4D40" w14:textId="77777777" w:rsidTr="00653035">
        <w:trPr>
          <w:trHeight w:val="360"/>
          <w:jc w:val="center"/>
        </w:trPr>
        <w:tc>
          <w:tcPr>
            <w:tcW w:w="3684" w:type="dxa"/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3EE7C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6" w:type="dxa"/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0F48B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492" w:type="dxa"/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26F1C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  <w:rPr>
                <w:b/>
              </w:rPr>
            </w:pPr>
            <w:r>
              <w:rPr>
                <w:b/>
              </w:rPr>
              <w:t>Term</w:t>
            </w:r>
          </w:p>
        </w:tc>
      </w:tr>
      <w:tr w:rsidR="00727F4C" w14:paraId="4CD1B2B2" w14:textId="77777777" w:rsidTr="00653035">
        <w:trPr>
          <w:trHeight w:val="360"/>
          <w:jc w:val="center"/>
        </w:trPr>
        <w:tc>
          <w:tcPr>
            <w:tcW w:w="36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866A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Dr Kellie Nuttall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65525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Chairperson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D2E9A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12 months</w:t>
            </w:r>
          </w:p>
        </w:tc>
      </w:tr>
      <w:tr w:rsidR="00727F4C" w14:paraId="13A0EFA2" w14:textId="77777777" w:rsidTr="00653035">
        <w:trPr>
          <w:trHeight w:val="360"/>
          <w:jc w:val="center"/>
        </w:trPr>
        <w:tc>
          <w:tcPr>
            <w:tcW w:w="36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12E1C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Associate Professor Matthew Burke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29AAC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Board member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4A2A8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12 months</w:t>
            </w:r>
          </w:p>
        </w:tc>
      </w:tr>
      <w:tr w:rsidR="00727F4C" w14:paraId="6E4B5973" w14:textId="77777777" w:rsidTr="00653035">
        <w:trPr>
          <w:trHeight w:val="360"/>
          <w:jc w:val="center"/>
        </w:trPr>
        <w:tc>
          <w:tcPr>
            <w:tcW w:w="36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5E335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Ms Julie Castle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A3B6E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Board member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68FE7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12 months</w:t>
            </w:r>
          </w:p>
        </w:tc>
      </w:tr>
      <w:tr w:rsidR="00727F4C" w14:paraId="430930E0" w14:textId="77777777" w:rsidTr="00653035">
        <w:trPr>
          <w:trHeight w:val="360"/>
          <w:jc w:val="center"/>
        </w:trPr>
        <w:tc>
          <w:tcPr>
            <w:tcW w:w="36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37B06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Ms Adrienne Ward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384E7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Board member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E3EBA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12 months</w:t>
            </w:r>
          </w:p>
        </w:tc>
      </w:tr>
      <w:tr w:rsidR="00727F4C" w14:paraId="07211CD7" w14:textId="77777777" w:rsidTr="00653035">
        <w:trPr>
          <w:trHeight w:val="360"/>
          <w:jc w:val="center"/>
        </w:trPr>
        <w:tc>
          <w:tcPr>
            <w:tcW w:w="36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4C9E8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Mr Blaise Itabelo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29C88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Board member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BB951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12 months</w:t>
            </w:r>
          </w:p>
        </w:tc>
      </w:tr>
      <w:tr w:rsidR="00727F4C" w14:paraId="307718AF" w14:textId="77777777" w:rsidTr="00653035">
        <w:trPr>
          <w:trHeight w:val="360"/>
          <w:jc w:val="center"/>
        </w:trPr>
        <w:tc>
          <w:tcPr>
            <w:tcW w:w="36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C115D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Ms Gail Ker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2EB8A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Board member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2BCF0" w14:textId="77777777" w:rsidR="00727F4C" w:rsidRDefault="00375936" w:rsidP="00653035">
            <w:pPr>
              <w:pStyle w:val="TableParagraph"/>
              <w:tabs>
                <w:tab w:val="left" w:pos="426"/>
              </w:tabs>
              <w:spacing w:before="60" w:after="60"/>
              <w:ind w:left="426" w:right="2" w:hanging="426"/>
              <w:jc w:val="both"/>
            </w:pPr>
            <w:r>
              <w:t>12 months</w:t>
            </w:r>
          </w:p>
        </w:tc>
      </w:tr>
    </w:tbl>
    <w:p w14:paraId="230D84B7" w14:textId="4B187C0F" w:rsidR="00727F4C" w:rsidRDefault="0054475A" w:rsidP="00271376">
      <w:pPr>
        <w:pStyle w:val="ListParagraph"/>
        <w:numPr>
          <w:ilvl w:val="0"/>
          <w:numId w:val="1"/>
        </w:numPr>
        <w:tabs>
          <w:tab w:val="left" w:pos="426"/>
        </w:tabs>
        <w:spacing w:before="480"/>
        <w:ind w:left="426" w:right="2" w:hanging="426"/>
        <w:jc w:val="both"/>
      </w:pPr>
      <w:r w:rsidRPr="0054475A">
        <w:rPr>
          <w:i/>
          <w:spacing w:val="-4"/>
          <w:u w:val="single"/>
        </w:rPr>
        <w:t>Attachment</w:t>
      </w:r>
      <w:r w:rsidR="00271376">
        <w:rPr>
          <w:i/>
          <w:spacing w:val="-4"/>
          <w:u w:val="single"/>
        </w:rPr>
        <w:t>s</w:t>
      </w:r>
    </w:p>
    <w:p w14:paraId="58A918FA" w14:textId="77777777" w:rsidR="00727F4C" w:rsidRDefault="00375936" w:rsidP="0054475A">
      <w:pPr>
        <w:pStyle w:val="ListParagraph"/>
        <w:numPr>
          <w:ilvl w:val="1"/>
          <w:numId w:val="1"/>
        </w:numPr>
        <w:tabs>
          <w:tab w:val="left" w:pos="426"/>
          <w:tab w:val="left" w:pos="851"/>
        </w:tabs>
        <w:spacing w:before="117"/>
        <w:ind w:left="851" w:right="2" w:hanging="425"/>
        <w:jc w:val="both"/>
      </w:pPr>
      <w:r>
        <w:t>Nil.</w:t>
      </w:r>
    </w:p>
    <w:sectPr w:rsidR="00727F4C" w:rsidSect="0054475A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8234" w14:textId="77777777" w:rsidR="00F47F2C" w:rsidRDefault="00F47F2C" w:rsidP="009F7E72">
      <w:r>
        <w:separator/>
      </w:r>
    </w:p>
  </w:endnote>
  <w:endnote w:type="continuationSeparator" w:id="0">
    <w:p w14:paraId="416AF5D9" w14:textId="77777777" w:rsidR="00F47F2C" w:rsidRDefault="00F47F2C" w:rsidP="009F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C30B" w14:textId="77777777" w:rsidR="00F47F2C" w:rsidRDefault="00F47F2C" w:rsidP="009F7E72">
      <w:r>
        <w:separator/>
      </w:r>
    </w:p>
  </w:footnote>
  <w:footnote w:type="continuationSeparator" w:id="0">
    <w:p w14:paraId="57123300" w14:textId="77777777" w:rsidR="00F47F2C" w:rsidRDefault="00F47F2C" w:rsidP="009F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BDE6" w14:textId="77777777" w:rsidR="009F7E72" w:rsidRPr="00937A4A" w:rsidRDefault="009F7E72" w:rsidP="009F7E7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7A2DA8E" w14:textId="77777777" w:rsidR="009F7E72" w:rsidRPr="00937A4A" w:rsidRDefault="009F7E72" w:rsidP="009F7E7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DA71D55" w14:textId="77777777" w:rsidR="009F7E72" w:rsidRPr="00937A4A" w:rsidRDefault="009F7E72" w:rsidP="009F7E7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July 2018</w:t>
    </w:r>
  </w:p>
  <w:p w14:paraId="5F1CEBA4" w14:textId="77777777" w:rsidR="009F7E72" w:rsidRDefault="009F7E72" w:rsidP="009F7E72">
    <w:pPr>
      <w:pStyle w:val="Header"/>
      <w:spacing w:before="120"/>
      <w:rPr>
        <w:b/>
        <w:u w:val="single"/>
      </w:rPr>
    </w:pPr>
    <w:r>
      <w:rPr>
        <w:b/>
        <w:u w:val="single"/>
      </w:rPr>
      <w:t>Public Transport Fares Advisory Panel</w:t>
    </w:r>
  </w:p>
  <w:p w14:paraId="7388E165" w14:textId="77777777" w:rsidR="009F7E72" w:rsidRDefault="009F7E72" w:rsidP="009F7E72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653BD254" w14:textId="77777777" w:rsidR="009F7E72" w:rsidRDefault="009F7E72" w:rsidP="009F7E7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A10"/>
    <w:multiLevelType w:val="hybridMultilevel"/>
    <w:tmpl w:val="12E2B642"/>
    <w:lvl w:ilvl="0" w:tplc="A6D4BEA0">
      <w:start w:val="1"/>
      <w:numFmt w:val="decimal"/>
      <w:lvlText w:val="%1."/>
      <w:lvlJc w:val="left"/>
      <w:pPr>
        <w:ind w:left="704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B3A2FE66">
      <w:numFmt w:val="bullet"/>
      <w:lvlText w:val=""/>
      <w:lvlJc w:val="left"/>
      <w:pPr>
        <w:ind w:left="115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29621DD4">
      <w:numFmt w:val="bullet"/>
      <w:lvlText w:val="•"/>
      <w:lvlJc w:val="left"/>
      <w:pPr>
        <w:ind w:left="2114" w:hanging="454"/>
      </w:pPr>
      <w:rPr>
        <w:rFonts w:hint="default"/>
      </w:rPr>
    </w:lvl>
    <w:lvl w:ilvl="3" w:tplc="C352D1B2">
      <w:numFmt w:val="bullet"/>
      <w:lvlText w:val="•"/>
      <w:lvlJc w:val="left"/>
      <w:pPr>
        <w:ind w:left="3068" w:hanging="454"/>
      </w:pPr>
      <w:rPr>
        <w:rFonts w:hint="default"/>
      </w:rPr>
    </w:lvl>
    <w:lvl w:ilvl="4" w:tplc="29C49A5C">
      <w:numFmt w:val="bullet"/>
      <w:lvlText w:val="•"/>
      <w:lvlJc w:val="left"/>
      <w:pPr>
        <w:ind w:left="4022" w:hanging="454"/>
      </w:pPr>
      <w:rPr>
        <w:rFonts w:hint="default"/>
      </w:rPr>
    </w:lvl>
    <w:lvl w:ilvl="5" w:tplc="2EF27A9A">
      <w:numFmt w:val="bullet"/>
      <w:lvlText w:val="•"/>
      <w:lvlJc w:val="left"/>
      <w:pPr>
        <w:ind w:left="4976" w:hanging="454"/>
      </w:pPr>
      <w:rPr>
        <w:rFonts w:hint="default"/>
      </w:rPr>
    </w:lvl>
    <w:lvl w:ilvl="6" w:tplc="FE9A0860">
      <w:numFmt w:val="bullet"/>
      <w:lvlText w:val="•"/>
      <w:lvlJc w:val="left"/>
      <w:pPr>
        <w:ind w:left="5930" w:hanging="454"/>
      </w:pPr>
      <w:rPr>
        <w:rFonts w:hint="default"/>
      </w:rPr>
    </w:lvl>
    <w:lvl w:ilvl="7" w:tplc="9BD4A86A">
      <w:numFmt w:val="bullet"/>
      <w:lvlText w:val="•"/>
      <w:lvlJc w:val="left"/>
      <w:pPr>
        <w:ind w:left="6884" w:hanging="454"/>
      </w:pPr>
      <w:rPr>
        <w:rFonts w:hint="default"/>
      </w:rPr>
    </w:lvl>
    <w:lvl w:ilvl="8" w:tplc="59D0EB68">
      <w:numFmt w:val="bullet"/>
      <w:lvlText w:val="•"/>
      <w:lvlJc w:val="left"/>
      <w:pPr>
        <w:ind w:left="7838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4C"/>
    <w:rsid w:val="000869A2"/>
    <w:rsid w:val="00214309"/>
    <w:rsid w:val="00271376"/>
    <w:rsid w:val="00342474"/>
    <w:rsid w:val="00375936"/>
    <w:rsid w:val="00454C07"/>
    <w:rsid w:val="004B1C39"/>
    <w:rsid w:val="0054475A"/>
    <w:rsid w:val="005473A8"/>
    <w:rsid w:val="00653035"/>
    <w:rsid w:val="00727F4C"/>
    <w:rsid w:val="008D5173"/>
    <w:rsid w:val="008F7B18"/>
    <w:rsid w:val="009347EC"/>
    <w:rsid w:val="009F7E72"/>
    <w:rsid w:val="00EE11DA"/>
    <w:rsid w:val="00F47F2C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6"/>
      <w:ind w:left="797" w:right="8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hanging="360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52"/>
    </w:pPr>
  </w:style>
  <w:style w:type="paragraph" w:styleId="Header">
    <w:name w:val="header"/>
    <w:basedOn w:val="Normal"/>
    <w:link w:val="HeaderChar"/>
    <w:uiPriority w:val="99"/>
    <w:unhideWhenUsed/>
    <w:rsid w:val="009F7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E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7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1195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Base>https://www.cabinet.qld.gov.au/documents/2018/Jul/ApptFaresPanel/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2018-08-30T04:33:00Z</dcterms:created>
  <dcterms:modified xsi:type="dcterms:W3CDTF">2019-12-11T09:12:00Z</dcterms:modified>
  <cp:category>Significant_Appointments,Transport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2018-06-14T00:00:00Z</vt:filetime>
  </property>
</Properties>
</file>