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64" w:rsidRDefault="00322257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pacing w:val="-3"/>
          <w:sz w:val="22"/>
          <w:szCs w:val="22"/>
        </w:rPr>
        <w:t>The</w:t>
      </w:r>
      <w:r w:rsidR="00A97D64">
        <w:rPr>
          <w:rFonts w:ascii="Arial" w:hAnsi="Arial" w:cs="Arial"/>
          <w:bCs/>
          <w:spacing w:val="-3"/>
          <w:sz w:val="22"/>
          <w:szCs w:val="22"/>
        </w:rPr>
        <w:t xml:space="preserve"> Government is committed to planning properly for Queensland’s future water needs and increasing efficiency in the delivery to households and businesses. </w:t>
      </w:r>
    </w:p>
    <w:p w:rsidR="00F507DC" w:rsidRPr="0092471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A97D64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Under the former Government, there were four bulk water supply entities</w:t>
      </w:r>
      <w:r w:rsidR="000434AB">
        <w:rPr>
          <w:rFonts w:ascii="Arial" w:hAnsi="Arial" w:cs="Arial"/>
          <w:kern w:val="20"/>
          <w:sz w:val="22"/>
          <w:szCs w:val="22"/>
        </w:rPr>
        <w:t>,</w:t>
      </w:r>
      <w:r>
        <w:rPr>
          <w:rFonts w:ascii="Arial" w:hAnsi="Arial" w:cs="Arial"/>
          <w:kern w:val="20"/>
          <w:sz w:val="22"/>
          <w:szCs w:val="22"/>
        </w:rPr>
        <w:t xml:space="preserve"> adding unnecessary complexity and costs (reduced to three with the merger of Seqwater and WaterSecure </w:t>
      </w:r>
      <w:r w:rsidR="002937CC">
        <w:rPr>
          <w:rFonts w:ascii="Arial" w:hAnsi="Arial" w:cs="Arial"/>
          <w:kern w:val="20"/>
          <w:sz w:val="22"/>
          <w:szCs w:val="22"/>
        </w:rPr>
        <w:t>in</w:t>
      </w:r>
      <w:r>
        <w:rPr>
          <w:rFonts w:ascii="Arial" w:hAnsi="Arial" w:cs="Arial"/>
          <w:kern w:val="20"/>
          <w:sz w:val="22"/>
          <w:szCs w:val="22"/>
        </w:rPr>
        <w:t xml:space="preserve"> June 2011). </w:t>
      </w:r>
      <w:r w:rsidR="00F507DC">
        <w:rPr>
          <w:rFonts w:ascii="Arial" w:hAnsi="Arial" w:cs="Arial"/>
          <w:kern w:val="20"/>
          <w:sz w:val="22"/>
          <w:szCs w:val="22"/>
        </w:rPr>
        <w:t>The South East Queensland Water (Restructuring) and Other Legislation Amendment Bill 2012</w:t>
      </w:r>
      <w:r w:rsidRPr="007F5CAD">
        <w:rPr>
          <w:rFonts w:ascii="Arial" w:hAnsi="Arial" w:cs="Arial"/>
          <w:kern w:val="20"/>
          <w:sz w:val="22"/>
          <w:szCs w:val="22"/>
        </w:rPr>
        <w:t xml:space="preserve"> </w:t>
      </w:r>
      <w:r w:rsidR="00F507DC">
        <w:rPr>
          <w:rFonts w:ascii="Arial" w:hAnsi="Arial" w:cs="Arial"/>
          <w:kern w:val="20"/>
          <w:sz w:val="22"/>
          <w:szCs w:val="22"/>
        </w:rPr>
        <w:t xml:space="preserve">will </w:t>
      </w:r>
      <w:r w:rsidRPr="007F5CAD">
        <w:rPr>
          <w:rFonts w:ascii="Arial" w:hAnsi="Arial" w:cs="Arial"/>
          <w:kern w:val="20"/>
          <w:sz w:val="22"/>
          <w:szCs w:val="22"/>
        </w:rPr>
        <w:t xml:space="preserve">merge the </w:t>
      </w:r>
      <w:r w:rsidR="00322257">
        <w:rPr>
          <w:rFonts w:ascii="Arial" w:hAnsi="Arial" w:cs="Arial"/>
          <w:kern w:val="20"/>
          <w:sz w:val="22"/>
          <w:szCs w:val="22"/>
        </w:rPr>
        <w:t>South East Queensland (</w:t>
      </w:r>
      <w:r w:rsidRPr="007F5CAD">
        <w:rPr>
          <w:rFonts w:ascii="Arial" w:hAnsi="Arial" w:cs="Arial"/>
          <w:kern w:val="20"/>
          <w:sz w:val="22"/>
          <w:szCs w:val="22"/>
        </w:rPr>
        <w:t>SEQ</w:t>
      </w:r>
      <w:r w:rsidR="00322257">
        <w:rPr>
          <w:rFonts w:ascii="Arial" w:hAnsi="Arial" w:cs="Arial"/>
          <w:kern w:val="20"/>
          <w:sz w:val="22"/>
          <w:szCs w:val="22"/>
        </w:rPr>
        <w:t>)</w:t>
      </w:r>
      <w:r w:rsidRPr="007F5CAD">
        <w:rPr>
          <w:rFonts w:ascii="Arial" w:hAnsi="Arial" w:cs="Arial"/>
          <w:kern w:val="20"/>
          <w:sz w:val="22"/>
          <w:szCs w:val="22"/>
        </w:rPr>
        <w:t xml:space="preserve"> bulk water entities – Seqwater, LinkWater and the SEQ Water Grid Manager (WGM) – into a single bulk water service provider, dissolve the Queensland Water Commission (QWC) and reconfigure the operating, regulatory and planning environment to reflect the new institutional arrangements.</w:t>
      </w:r>
    </w:p>
    <w:p w:rsidR="00F507DC" w:rsidRPr="007F5CA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F507DC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These changes</w:t>
      </w:r>
      <w:r w:rsidR="00A97D64">
        <w:rPr>
          <w:rFonts w:ascii="Arial" w:hAnsi="Arial" w:cs="Arial"/>
          <w:kern w:val="20"/>
          <w:sz w:val="22"/>
          <w:szCs w:val="22"/>
        </w:rPr>
        <w:t xml:space="preserve"> send a clear message </w:t>
      </w:r>
      <w:r w:rsidR="000434AB">
        <w:rPr>
          <w:rFonts w:ascii="Arial" w:hAnsi="Arial" w:cs="Arial"/>
          <w:kern w:val="20"/>
          <w:sz w:val="22"/>
          <w:szCs w:val="22"/>
        </w:rPr>
        <w:t>about the Government’s expectations</w:t>
      </w:r>
      <w:r w:rsidR="00A97D64">
        <w:rPr>
          <w:rFonts w:ascii="Arial" w:hAnsi="Arial" w:cs="Arial"/>
          <w:kern w:val="20"/>
          <w:sz w:val="22"/>
          <w:szCs w:val="22"/>
        </w:rPr>
        <w:t xml:space="preserve"> </w:t>
      </w:r>
      <w:r w:rsidR="000434AB">
        <w:rPr>
          <w:rFonts w:ascii="Arial" w:hAnsi="Arial" w:cs="Arial"/>
          <w:kern w:val="20"/>
          <w:sz w:val="22"/>
          <w:szCs w:val="22"/>
        </w:rPr>
        <w:t>of</w:t>
      </w:r>
      <w:r w:rsidR="00A97D64">
        <w:rPr>
          <w:rFonts w:ascii="Arial" w:hAnsi="Arial" w:cs="Arial"/>
          <w:kern w:val="20"/>
          <w:sz w:val="22"/>
          <w:szCs w:val="22"/>
        </w:rPr>
        <w:t xml:space="preserve"> high quality </w:t>
      </w:r>
      <w:r w:rsidR="000434AB">
        <w:rPr>
          <w:rFonts w:ascii="Arial" w:hAnsi="Arial" w:cs="Arial"/>
          <w:kern w:val="20"/>
          <w:sz w:val="22"/>
          <w:szCs w:val="22"/>
        </w:rPr>
        <w:t xml:space="preserve">bulk water </w:t>
      </w:r>
      <w:r w:rsidR="00A97D64">
        <w:rPr>
          <w:rFonts w:ascii="Arial" w:hAnsi="Arial" w:cs="Arial"/>
          <w:kern w:val="20"/>
          <w:sz w:val="22"/>
          <w:szCs w:val="22"/>
        </w:rPr>
        <w:t xml:space="preserve">services at least cost.  </w:t>
      </w:r>
    </w:p>
    <w:p w:rsidR="00F507DC" w:rsidRPr="0092471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A97D64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The </w:t>
      </w:r>
      <w:r w:rsidRPr="007F5CAD">
        <w:rPr>
          <w:rFonts w:ascii="Arial" w:hAnsi="Arial" w:cs="Arial"/>
          <w:kern w:val="20"/>
          <w:sz w:val="22"/>
          <w:szCs w:val="22"/>
        </w:rPr>
        <w:t xml:space="preserve">amendments to the </w:t>
      </w:r>
      <w:r w:rsidRPr="007F5CAD">
        <w:rPr>
          <w:rFonts w:ascii="Arial" w:hAnsi="Arial" w:cs="Arial"/>
          <w:i/>
          <w:kern w:val="20"/>
          <w:sz w:val="22"/>
          <w:szCs w:val="22"/>
        </w:rPr>
        <w:t xml:space="preserve">South East Queensland Water (Restructuring) Act 2007 </w:t>
      </w:r>
      <w:r w:rsidRPr="007F5CAD">
        <w:rPr>
          <w:rFonts w:ascii="Arial" w:hAnsi="Arial" w:cs="Arial"/>
          <w:kern w:val="20"/>
          <w:sz w:val="22"/>
          <w:szCs w:val="22"/>
        </w:rPr>
        <w:t xml:space="preserve">will enable the transfer of the WGM’s and LinkWater’s businesses into Seqwater (chosen as the vehicle for the new merged entity to limit </w:t>
      </w:r>
      <w:r>
        <w:rPr>
          <w:rFonts w:ascii="Arial" w:hAnsi="Arial" w:cs="Arial"/>
          <w:kern w:val="20"/>
          <w:sz w:val="22"/>
          <w:szCs w:val="22"/>
        </w:rPr>
        <w:t>implementation</w:t>
      </w:r>
      <w:r w:rsidRPr="007F5CAD">
        <w:rPr>
          <w:rFonts w:ascii="Arial" w:hAnsi="Arial" w:cs="Arial"/>
          <w:kern w:val="20"/>
          <w:sz w:val="22"/>
          <w:szCs w:val="22"/>
        </w:rPr>
        <w:t xml:space="preserve"> costs and risk), and the dissolution of those entities.  To complement the structural changes, the current market structure and planning and regulatory framework will be simplified through amendments to the </w:t>
      </w:r>
      <w:r w:rsidRPr="007F5CAD">
        <w:rPr>
          <w:rFonts w:ascii="Arial" w:hAnsi="Arial" w:cs="Arial"/>
          <w:i/>
          <w:kern w:val="20"/>
          <w:sz w:val="22"/>
          <w:szCs w:val="22"/>
        </w:rPr>
        <w:t>Water Act 2000</w:t>
      </w:r>
      <w:r w:rsidRPr="007F5CAD">
        <w:rPr>
          <w:rFonts w:ascii="Arial" w:hAnsi="Arial" w:cs="Arial"/>
          <w:kern w:val="20"/>
          <w:sz w:val="22"/>
          <w:szCs w:val="22"/>
        </w:rPr>
        <w:t xml:space="preserve"> and other key legislation, including the </w:t>
      </w:r>
      <w:r w:rsidRPr="007F5CAD">
        <w:rPr>
          <w:rFonts w:ascii="Arial" w:hAnsi="Arial" w:cs="Arial"/>
          <w:i/>
          <w:kern w:val="20"/>
          <w:sz w:val="22"/>
          <w:szCs w:val="22"/>
        </w:rPr>
        <w:t>Water Supply (Safety and Reliability) Act 2008</w:t>
      </w:r>
      <w:r w:rsidRPr="007F5CAD">
        <w:rPr>
          <w:rFonts w:ascii="Arial" w:hAnsi="Arial" w:cs="Arial"/>
          <w:kern w:val="20"/>
          <w:sz w:val="22"/>
          <w:szCs w:val="22"/>
        </w:rPr>
        <w:t xml:space="preserve">.   </w:t>
      </w:r>
    </w:p>
    <w:p w:rsidR="00F507DC" w:rsidRPr="007F5CA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A97D64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F5CAD">
        <w:rPr>
          <w:rFonts w:ascii="Arial" w:hAnsi="Arial" w:cs="Arial"/>
          <w:sz w:val="22"/>
          <w:szCs w:val="22"/>
        </w:rPr>
        <w:t xml:space="preserve">The Bill also provides for </w:t>
      </w:r>
      <w:r w:rsidRPr="007F5CAD">
        <w:rPr>
          <w:rFonts w:ascii="Arial" w:hAnsi="Arial" w:cs="Arial"/>
          <w:bCs/>
          <w:sz w:val="22"/>
          <w:szCs w:val="22"/>
        </w:rPr>
        <w:t>the Office of Groundwater Impact Assessment</w:t>
      </w:r>
      <w:r>
        <w:rPr>
          <w:rFonts w:ascii="Arial" w:hAnsi="Arial" w:cs="Arial"/>
          <w:bCs/>
          <w:sz w:val="22"/>
          <w:szCs w:val="22"/>
        </w:rPr>
        <w:t xml:space="preserve">, formerly a business unit within </w:t>
      </w:r>
      <w:r w:rsidRPr="007F5CAD">
        <w:rPr>
          <w:rFonts w:ascii="Arial" w:hAnsi="Arial" w:cs="Arial"/>
          <w:bCs/>
          <w:sz w:val="22"/>
          <w:szCs w:val="22"/>
        </w:rPr>
        <w:t>QWC</w:t>
      </w:r>
      <w:r>
        <w:rPr>
          <w:rFonts w:ascii="Arial" w:hAnsi="Arial" w:cs="Arial"/>
          <w:bCs/>
          <w:sz w:val="22"/>
          <w:szCs w:val="22"/>
        </w:rPr>
        <w:t>,</w:t>
      </w:r>
      <w:r w:rsidRPr="007F5CA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to continue its critical and independent role in proving advice on </w:t>
      </w:r>
      <w:r w:rsidRPr="007F5CAD">
        <w:rPr>
          <w:rFonts w:ascii="Arial" w:hAnsi="Arial" w:cs="Arial"/>
          <w:bCs/>
          <w:sz w:val="22"/>
          <w:szCs w:val="22"/>
        </w:rPr>
        <w:t xml:space="preserve">impacts of the </w:t>
      </w:r>
      <w:r>
        <w:rPr>
          <w:rFonts w:ascii="Arial" w:hAnsi="Arial" w:cs="Arial"/>
          <w:bCs/>
          <w:sz w:val="22"/>
          <w:szCs w:val="22"/>
        </w:rPr>
        <w:t xml:space="preserve">coal seam gas operations on </w:t>
      </w:r>
      <w:r w:rsidRPr="007F5CAD">
        <w:rPr>
          <w:rFonts w:ascii="Arial" w:hAnsi="Arial" w:cs="Arial"/>
          <w:bCs/>
          <w:sz w:val="22"/>
          <w:szCs w:val="22"/>
        </w:rPr>
        <w:t>underground water</w:t>
      </w:r>
      <w:r>
        <w:rPr>
          <w:rFonts w:ascii="Arial" w:hAnsi="Arial" w:cs="Arial"/>
          <w:bCs/>
          <w:sz w:val="22"/>
          <w:szCs w:val="22"/>
        </w:rPr>
        <w:t xml:space="preserve"> rights of landholders.  </w:t>
      </w:r>
      <w:r w:rsidRPr="007F5CAD">
        <w:rPr>
          <w:rFonts w:ascii="Arial" w:hAnsi="Arial" w:cs="Arial"/>
          <w:bCs/>
          <w:sz w:val="22"/>
          <w:szCs w:val="22"/>
        </w:rPr>
        <w:t xml:space="preserve"> </w:t>
      </w:r>
    </w:p>
    <w:p w:rsidR="00F507DC" w:rsidRPr="007F5CA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Default="00A97D64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F5CAD">
        <w:rPr>
          <w:rFonts w:ascii="Arial" w:hAnsi="Arial" w:cs="Arial"/>
          <w:bCs/>
          <w:spacing w:val="-3"/>
          <w:sz w:val="22"/>
          <w:szCs w:val="22"/>
        </w:rPr>
        <w:t>In addition, the Bill removes the previous Government’s requirements for SEQ councils to have a price mitigation plan and adopt and publish a five-year price path f</w:t>
      </w:r>
      <w:r w:rsidR="00322257">
        <w:rPr>
          <w:rFonts w:ascii="Arial" w:hAnsi="Arial" w:cs="Arial"/>
          <w:bCs/>
          <w:spacing w:val="-3"/>
          <w:sz w:val="22"/>
          <w:szCs w:val="22"/>
        </w:rPr>
        <w:t>or the period 1 July 2013 to 30 </w:t>
      </w:r>
      <w:r w:rsidRPr="007F5CAD">
        <w:rPr>
          <w:rFonts w:ascii="Arial" w:hAnsi="Arial" w:cs="Arial"/>
          <w:bCs/>
          <w:spacing w:val="-3"/>
          <w:sz w:val="22"/>
          <w:szCs w:val="22"/>
        </w:rPr>
        <w:t>June 2018.  These requirements impose a significant process and cost burden on councils, with no direct benefit or savings to residential and business customers.</w:t>
      </w:r>
    </w:p>
    <w:p w:rsidR="00F507DC" w:rsidRPr="007F5CA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A97D64" w:rsidP="00F507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F5CAD">
        <w:rPr>
          <w:rFonts w:ascii="Arial" w:hAnsi="Arial" w:cs="Arial"/>
          <w:sz w:val="22"/>
          <w:szCs w:val="22"/>
          <w:u w:val="single"/>
        </w:rPr>
        <w:t>Cabinet approved</w:t>
      </w:r>
      <w:r w:rsidRPr="007F5CAD">
        <w:rPr>
          <w:rFonts w:ascii="Arial" w:hAnsi="Arial" w:cs="Arial"/>
          <w:sz w:val="22"/>
          <w:szCs w:val="22"/>
        </w:rPr>
        <w:t xml:space="preserve"> introduction of the South East Queensland Water (Restructuring) and Other Legislation Amendment Bill 2012 into the Legislative Assembly.</w:t>
      </w:r>
    </w:p>
    <w:p w:rsidR="00F507DC" w:rsidRPr="007F5CAD" w:rsidRDefault="00F507DC" w:rsidP="00F507DC">
      <w:pPr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A97D64" w:rsidRPr="00F507DC" w:rsidRDefault="00A97D64" w:rsidP="004D267E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F5CAD">
        <w:rPr>
          <w:rFonts w:ascii="Arial" w:hAnsi="Arial" w:cs="Arial"/>
          <w:i/>
          <w:sz w:val="22"/>
          <w:szCs w:val="22"/>
          <w:u w:val="single"/>
        </w:rPr>
        <w:t>Attachments</w:t>
      </w:r>
    </w:p>
    <w:p w:rsidR="00A97D64" w:rsidRPr="007F5CAD" w:rsidRDefault="00507EC1" w:rsidP="004D267E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7" w:history="1">
        <w:r w:rsidR="00A97D64" w:rsidRPr="00322257">
          <w:rPr>
            <w:rStyle w:val="Hyperlink"/>
            <w:rFonts w:ascii="Arial" w:hAnsi="Arial" w:cs="Arial"/>
            <w:sz w:val="22"/>
            <w:szCs w:val="22"/>
          </w:rPr>
          <w:t>South East Queensland Water (Restructuring) and Other Legislation Amendment Bill 2012</w:t>
        </w:r>
      </w:hyperlink>
    </w:p>
    <w:p w:rsidR="00F507DC" w:rsidRPr="00322257" w:rsidRDefault="00507EC1" w:rsidP="00322257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</w:rPr>
      </w:pPr>
      <w:hyperlink r:id="rId8" w:history="1">
        <w:r w:rsidR="00A97D64" w:rsidRPr="00322257">
          <w:rPr>
            <w:rStyle w:val="Hyperlink"/>
            <w:rFonts w:ascii="Arial" w:hAnsi="Arial" w:cs="Arial"/>
            <w:sz w:val="22"/>
            <w:szCs w:val="22"/>
          </w:rPr>
          <w:t>Explanatory Notes</w:t>
        </w:r>
      </w:hyperlink>
    </w:p>
    <w:sectPr w:rsidR="00F507DC" w:rsidRPr="00322257" w:rsidSect="00CB70B3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D1" w:rsidRDefault="008D52D1" w:rsidP="007F5CAD">
      <w:r>
        <w:separator/>
      </w:r>
    </w:p>
  </w:endnote>
  <w:endnote w:type="continuationSeparator" w:id="0">
    <w:p w:rsidR="008D52D1" w:rsidRDefault="008D52D1" w:rsidP="007F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D1" w:rsidRDefault="008D52D1" w:rsidP="007F5CAD">
      <w:r>
        <w:separator/>
      </w:r>
    </w:p>
  </w:footnote>
  <w:footnote w:type="continuationSeparator" w:id="0">
    <w:p w:rsidR="008D52D1" w:rsidRDefault="008D52D1" w:rsidP="007F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7E" w:rsidRPr="00D75134" w:rsidRDefault="004D267E" w:rsidP="00F507DC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jc w:val="center"/>
      <w:rPr>
        <w:rFonts w:ascii="Arial" w:hAnsi="Arial" w:cs="Arial"/>
        <w:b/>
        <w:sz w:val="28"/>
        <w:szCs w:val="22"/>
      </w:rPr>
    </w:pPr>
    <w:r w:rsidRPr="00D75134">
      <w:rPr>
        <w:rFonts w:ascii="Arial" w:hAnsi="Arial" w:cs="Arial"/>
        <w:b/>
        <w:sz w:val="28"/>
        <w:szCs w:val="22"/>
      </w:rPr>
      <w:t>Queensland Government</w:t>
    </w:r>
  </w:p>
  <w:p w:rsidR="004D267E" w:rsidRPr="00D75134" w:rsidRDefault="004D267E" w:rsidP="00F507DC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rPr>
        <w:rFonts w:ascii="Arial" w:hAnsi="Arial" w:cs="Arial"/>
        <w:b/>
        <w:sz w:val="14"/>
        <w:szCs w:val="22"/>
        <w:u w:val="single"/>
      </w:rPr>
    </w:pPr>
  </w:p>
  <w:p w:rsidR="004D267E" w:rsidRPr="001E209B" w:rsidRDefault="004D267E" w:rsidP="00F507DC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  <w:tab w:val="right" w:pos="9072"/>
      </w:tabs>
      <w:jc w:val="center"/>
      <w:rPr>
        <w:rFonts w:ascii="Arial" w:hAnsi="Arial" w:cs="Arial"/>
        <w:b/>
        <w:sz w:val="22"/>
        <w:szCs w:val="22"/>
      </w:rPr>
    </w:pPr>
    <w:r w:rsidRPr="001E209B">
      <w:rPr>
        <w:rFonts w:ascii="Arial" w:hAnsi="Arial" w:cs="Arial"/>
        <w:b/>
        <w:sz w:val="22"/>
        <w:szCs w:val="22"/>
      </w:rPr>
      <w:t xml:space="preserve">Cabinet – </w:t>
    </w:r>
    <w:r>
      <w:rPr>
        <w:rFonts w:ascii="Arial" w:hAnsi="Arial" w:cs="Arial"/>
        <w:b/>
        <w:sz w:val="22"/>
        <w:szCs w:val="22"/>
      </w:rPr>
      <w:t>October</w:t>
    </w:r>
    <w:r w:rsidRPr="001E209B">
      <w:rPr>
        <w:rFonts w:ascii="Arial" w:hAnsi="Arial" w:cs="Arial"/>
        <w:b/>
        <w:sz w:val="22"/>
        <w:szCs w:val="22"/>
      </w:rPr>
      <w:t xml:space="preserve"> 2012</w:t>
    </w:r>
  </w:p>
  <w:p w:rsidR="004D267E" w:rsidRDefault="004D267E" w:rsidP="00F507DC">
    <w:pPr>
      <w:pStyle w:val="Header"/>
      <w:spacing w:before="120"/>
      <w:jc w:val="both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South East Queensland Water (Restructuring) and Other Legislation Amendment Bill 2012</w:t>
    </w:r>
  </w:p>
  <w:p w:rsidR="004D267E" w:rsidRDefault="004D267E" w:rsidP="00F507DC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Treasurer and Minister for Trade</w:t>
    </w:r>
  </w:p>
  <w:p w:rsidR="004D267E" w:rsidRPr="00D1722B" w:rsidRDefault="004D267E" w:rsidP="00F507DC">
    <w:pPr>
      <w:pStyle w:val="Header"/>
      <w:pBdr>
        <w:bottom w:val="single" w:sz="4" w:space="1" w:color="auto"/>
      </w:pBdr>
    </w:pPr>
  </w:p>
  <w:p w:rsidR="004D267E" w:rsidRDefault="004D26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A2CF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A54C5"/>
    <w:multiLevelType w:val="singleLevel"/>
    <w:tmpl w:val="17CAFE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2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AD"/>
    <w:rsid w:val="000100E2"/>
    <w:rsid w:val="000434AB"/>
    <w:rsid w:val="0008609E"/>
    <w:rsid w:val="00086731"/>
    <w:rsid w:val="000C5957"/>
    <w:rsid w:val="00121FF6"/>
    <w:rsid w:val="001246D5"/>
    <w:rsid w:val="00152DDA"/>
    <w:rsid w:val="0015577D"/>
    <w:rsid w:val="0016207A"/>
    <w:rsid w:val="001A3842"/>
    <w:rsid w:val="001B08B8"/>
    <w:rsid w:val="00240884"/>
    <w:rsid w:val="00284134"/>
    <w:rsid w:val="002937CC"/>
    <w:rsid w:val="002A438C"/>
    <w:rsid w:val="002B0EF5"/>
    <w:rsid w:val="002B48CD"/>
    <w:rsid w:val="002D7308"/>
    <w:rsid w:val="00313023"/>
    <w:rsid w:val="00322257"/>
    <w:rsid w:val="00354962"/>
    <w:rsid w:val="003733DD"/>
    <w:rsid w:val="00382FF2"/>
    <w:rsid w:val="003B03CE"/>
    <w:rsid w:val="003C74D2"/>
    <w:rsid w:val="00404E97"/>
    <w:rsid w:val="004618A4"/>
    <w:rsid w:val="004A345B"/>
    <w:rsid w:val="004D267E"/>
    <w:rsid w:val="00500278"/>
    <w:rsid w:val="00503B8D"/>
    <w:rsid w:val="00507EC1"/>
    <w:rsid w:val="00510B24"/>
    <w:rsid w:val="0052041A"/>
    <w:rsid w:val="00574DB2"/>
    <w:rsid w:val="005C147E"/>
    <w:rsid w:val="005D20CE"/>
    <w:rsid w:val="00635DD6"/>
    <w:rsid w:val="0067135A"/>
    <w:rsid w:val="00680973"/>
    <w:rsid w:val="006B2E84"/>
    <w:rsid w:val="006D2694"/>
    <w:rsid w:val="006E7BAB"/>
    <w:rsid w:val="00751679"/>
    <w:rsid w:val="007534D4"/>
    <w:rsid w:val="00787891"/>
    <w:rsid w:val="007A3776"/>
    <w:rsid w:val="007E412B"/>
    <w:rsid w:val="007F5CAD"/>
    <w:rsid w:val="008D3F95"/>
    <w:rsid w:val="008D52D1"/>
    <w:rsid w:val="008E3EF7"/>
    <w:rsid w:val="00913241"/>
    <w:rsid w:val="00944349"/>
    <w:rsid w:val="009519E2"/>
    <w:rsid w:val="00987697"/>
    <w:rsid w:val="00993DD7"/>
    <w:rsid w:val="009A5065"/>
    <w:rsid w:val="009B25C8"/>
    <w:rsid w:val="009C1A59"/>
    <w:rsid w:val="009C1CAF"/>
    <w:rsid w:val="009D1E7F"/>
    <w:rsid w:val="009D1F6A"/>
    <w:rsid w:val="00A13864"/>
    <w:rsid w:val="00A50A44"/>
    <w:rsid w:val="00A97D64"/>
    <w:rsid w:val="00AA0C07"/>
    <w:rsid w:val="00AB2AA2"/>
    <w:rsid w:val="00B3456C"/>
    <w:rsid w:val="00BD656C"/>
    <w:rsid w:val="00BE33C7"/>
    <w:rsid w:val="00C11F8C"/>
    <w:rsid w:val="00C32F63"/>
    <w:rsid w:val="00C67C3A"/>
    <w:rsid w:val="00CB2623"/>
    <w:rsid w:val="00CB70B3"/>
    <w:rsid w:val="00CC5090"/>
    <w:rsid w:val="00D62EB0"/>
    <w:rsid w:val="00DA04AE"/>
    <w:rsid w:val="00E01FCC"/>
    <w:rsid w:val="00E07622"/>
    <w:rsid w:val="00E246FC"/>
    <w:rsid w:val="00E668F5"/>
    <w:rsid w:val="00F507DC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AD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AD"/>
  </w:style>
  <w:style w:type="paragraph" w:styleId="Footer">
    <w:name w:val="footer"/>
    <w:basedOn w:val="Normal"/>
    <w:link w:val="FooterChar"/>
    <w:uiPriority w:val="99"/>
    <w:unhideWhenUsed/>
    <w:rsid w:val="007F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AD"/>
  </w:style>
  <w:style w:type="paragraph" w:styleId="ListParagraph">
    <w:name w:val="List Paragraph"/>
    <w:basedOn w:val="Normal"/>
    <w:uiPriority w:val="34"/>
    <w:qFormat/>
    <w:rsid w:val="00F50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07DC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uiPriority w:val="99"/>
    <w:unhideWhenUsed/>
    <w:rsid w:val="0032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ttachments/ExNotes.pdf" TargetMode="External"/><Relationship Id="rId3" Type="http://schemas.openxmlformats.org/officeDocument/2006/relationships/settings" Target="settings.xml"/><Relationship Id="rId7" Type="http://schemas.openxmlformats.org/officeDocument/2006/relationships/hyperlink" Target="Attachments/Bil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Base>https://www.cabinet.qld.gov.au/documents/2012/Oct/SEQ Water restr/</HyperlinkBase>
  <HLinks>
    <vt:vector size="12" baseType="variant">
      <vt:variant>
        <vt:i4>8061050</vt:i4>
      </vt:variant>
      <vt:variant>
        <vt:i4>3</vt:i4>
      </vt:variant>
      <vt:variant>
        <vt:i4>0</vt:i4>
      </vt:variant>
      <vt:variant>
        <vt:i4>5</vt:i4>
      </vt:variant>
      <vt:variant>
        <vt:lpwstr>Attachments/ExNotes.pdf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Attachments/Bill.pdf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2013-02-28T01:51:00Z</cp:lastPrinted>
  <dcterms:created xsi:type="dcterms:W3CDTF">2017-10-24T23:21:00Z</dcterms:created>
  <dcterms:modified xsi:type="dcterms:W3CDTF">2018-03-06T01:15:00Z</dcterms:modified>
  <cp:category>Water,Legislation</cp:category>
</cp:coreProperties>
</file>